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4323" w14:textId="08E3706E" w:rsidR="000135DF" w:rsidRPr="0095388B" w:rsidRDefault="000135DF">
      <w:pPr>
        <w:pStyle w:val="Title"/>
        <w:rPr>
          <w:rFonts w:ascii="PMingLiU" w:eastAsia="PMingLiU" w:hAnsi="PMingLiU" w:cs="Microsoft YaHei"/>
          <w:lang w:eastAsia="zh-CN"/>
        </w:rPr>
      </w:pPr>
    </w:p>
    <w:p w14:paraId="706AF928" w14:textId="243437CC" w:rsidR="00DB1C78" w:rsidRPr="0095388B" w:rsidRDefault="00632EBE">
      <w:pPr>
        <w:pStyle w:val="Title"/>
        <w:rPr>
          <w:rFonts w:ascii="PMingLiU" w:eastAsia="PMingLiU" w:hAnsi="PMingLiU"/>
          <w:lang w:eastAsia="zh-CN"/>
        </w:rPr>
      </w:pPr>
      <w:r w:rsidRPr="0095388B">
        <w:rPr>
          <w:rFonts w:ascii="PMingLiU" w:eastAsia="PMingLiU" w:hAnsi="PMingLiU"/>
          <w:noProof/>
        </w:rPr>
        <mc:AlternateContent>
          <mc:Choice Requires="wps">
            <w:drawing>
              <wp:anchor distT="0" distB="0" distL="0" distR="0" simplePos="0" relativeHeight="251653632" behindDoc="1" locked="0" layoutInCell="1" allowOverlap="1" wp14:anchorId="706AF946" wp14:editId="706AF947">
                <wp:simplePos x="0" y="0"/>
                <wp:positionH relativeFrom="page">
                  <wp:posOffset>487680</wp:posOffset>
                </wp:positionH>
                <wp:positionV relativeFrom="paragraph">
                  <wp:posOffset>347551</wp:posOffset>
                </wp:positionV>
                <wp:extent cx="68738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3875" cy="1270"/>
                        </a:xfrm>
                        <a:custGeom>
                          <a:avLst/>
                          <a:gdLst/>
                          <a:ahLst/>
                          <a:cxnLst/>
                          <a:rect l="l" t="t" r="r" b="b"/>
                          <a:pathLst>
                            <a:path w="6873875">
                              <a:moveTo>
                                <a:pt x="0" y="0"/>
                              </a:moveTo>
                              <a:lnTo>
                                <a:pt x="6873875" y="0"/>
                              </a:lnTo>
                            </a:path>
                          </a:pathLst>
                        </a:custGeom>
                        <a:ln w="13716">
                          <a:solidFill>
                            <a:srgbClr val="9EB0B5"/>
                          </a:solidFill>
                          <a:prstDash val="solid"/>
                        </a:ln>
                      </wps:spPr>
                      <wps:bodyPr wrap="square" lIns="0" tIns="0" rIns="0" bIns="0" rtlCol="0">
                        <a:prstTxWarp prst="textNoShape">
                          <a:avLst/>
                        </a:prstTxWarp>
                        <a:noAutofit/>
                      </wps:bodyPr>
                    </wps:wsp>
                  </a:graphicData>
                </a:graphic>
              </wp:anchor>
            </w:drawing>
          </mc:Choice>
          <mc:Fallback>
            <w:pict>
              <v:shape w14:anchorId="26B506A8" id="Graphic 1" o:spid="_x0000_s1026" style="position:absolute;margin-left:38.4pt;margin-top:27.35pt;width:541.2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873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" path="m,l6873875,e" filled="f" strokecolor="#9eb0b5" strokeweight="1.08pt">
                <v:path arrowok="t"/>
                <w10:wrap type="topAndBottom" anchorx="page"/>
              </v:shape>
            </w:pict>
          </mc:Fallback>
        </mc:AlternateContent>
      </w:r>
      <w:proofErr w:type="spellStart"/>
      <w:r w:rsidR="00A74659" w:rsidRPr="0095388B">
        <w:rPr>
          <w:rFonts w:ascii="PMingLiU" w:eastAsia="PMingLiU" w:hAnsi="PMingLiU" w:cs="Microsoft YaHei" w:hint="eastAsia"/>
        </w:rPr>
        <w:t>洛杉磯縣成人結核病風險評估</w:t>
      </w:r>
      <w:proofErr w:type="spellEnd"/>
    </w:p>
    <w:p w14:paraId="706AF929" w14:textId="426EA2E8" w:rsidR="00DB1C78" w:rsidRPr="0095388B" w:rsidRDefault="00E60ED7">
      <w:pPr>
        <w:pStyle w:val="ListParagraph"/>
        <w:numPr>
          <w:ilvl w:val="0"/>
          <w:numId w:val="5"/>
        </w:numPr>
        <w:tabs>
          <w:tab w:val="left" w:pos="701"/>
        </w:tabs>
        <w:spacing w:before="230" w:line="283" w:lineRule="exact"/>
        <w:rPr>
          <w:rFonts w:ascii="PMingLiU" w:eastAsia="PMingLiU" w:hAnsi="PMingLiU"/>
          <w:sz w:val="24"/>
          <w:lang w:eastAsia="zh-CN"/>
        </w:rPr>
      </w:pPr>
      <w:proofErr w:type="spellStart"/>
      <w:r w:rsidRPr="0095388B">
        <w:rPr>
          <w:rFonts w:ascii="PMingLiU" w:eastAsia="PMingLiU" w:hAnsi="PMingLiU" w:cs="Microsoft YaHei" w:hint="eastAsia"/>
          <w:sz w:val="24"/>
        </w:rPr>
        <w:t>使用此工具識別應進行結核病</w:t>
      </w:r>
      <w:proofErr w:type="spellEnd"/>
      <w:r w:rsidR="0095388B">
        <w:rPr>
          <w:rFonts w:ascii="PMingLiU" w:eastAsiaTheme="minorEastAsia" w:hAnsi="PMingLiU" w:cs="Microsoft YaHei" w:hint="eastAsia"/>
          <w:sz w:val="24"/>
          <w:lang w:eastAsia="zh-CN"/>
        </w:rPr>
        <w:t xml:space="preserve"> </w:t>
      </w:r>
      <w:r w:rsidR="0095388B">
        <w:rPr>
          <w:rFonts w:ascii="PMingLiU" w:eastAsiaTheme="minorEastAsia" w:hAnsi="PMingLiU" w:cs="Times New Roman" w:hint="eastAsia"/>
          <w:sz w:val="24"/>
          <w:lang w:eastAsia="zh-CN"/>
        </w:rPr>
        <w:t>(</w:t>
      </w:r>
      <w:r w:rsidR="00F35739" w:rsidRPr="0095388B">
        <w:rPr>
          <w:rFonts w:ascii="PMingLiU" w:eastAsia="PMingLiU" w:hAnsi="PMingLiU" w:cs="Times New Roman"/>
          <w:sz w:val="24"/>
        </w:rPr>
        <w:t>TB</w:t>
      </w:r>
      <w:r w:rsidR="0095388B">
        <w:rPr>
          <w:rFonts w:ascii="PMingLiU" w:eastAsia="PMingLiU" w:hAnsi="PMingLiU" w:cs="Times New Roman"/>
          <w:sz w:val="24"/>
        </w:rPr>
        <w:t>)</w:t>
      </w:r>
      <w:r w:rsidR="00F35739" w:rsidRPr="0095388B">
        <w:rPr>
          <w:rFonts w:ascii="PMingLiU" w:eastAsia="PMingLiU" w:hAnsi="PMingLiU" w:cs="Times New Roman"/>
          <w:sz w:val="24"/>
        </w:rPr>
        <w:t xml:space="preserve"> </w:t>
      </w:r>
      <w:proofErr w:type="spellStart"/>
      <w:r w:rsidR="00F35739" w:rsidRPr="0095388B">
        <w:rPr>
          <w:rFonts w:ascii="PMingLiU" w:eastAsia="PMingLiU" w:hAnsi="PMingLiU" w:cs="Microsoft YaHei" w:hint="eastAsia"/>
          <w:sz w:val="24"/>
        </w:rPr>
        <w:t>感染檢測的無</w:t>
      </w:r>
      <w:r w:rsidR="0095388B">
        <w:rPr>
          <w:rFonts w:ascii="PMingLiU" w:eastAsia="PMingLiU" w:hAnsi="PMingLiU" w:cs="Microsoft YaHei" w:hint="eastAsia"/>
          <w:sz w:val="24"/>
        </w:rPr>
        <w:t>症</w:t>
      </w:r>
      <w:r w:rsidR="00F35739" w:rsidRPr="0095388B">
        <w:rPr>
          <w:rFonts w:ascii="PMingLiU" w:eastAsia="PMingLiU" w:hAnsi="PMingLiU" w:cs="Microsoft YaHei" w:hint="eastAsia"/>
          <w:sz w:val="24"/>
        </w:rPr>
        <w:t>狀成人</w:t>
      </w:r>
      <w:proofErr w:type="spellEnd"/>
    </w:p>
    <w:p w14:paraId="706AF92A" w14:textId="7C3BA8E0" w:rsidR="00DB1C78" w:rsidRPr="0095388B" w:rsidRDefault="0093495B">
      <w:pPr>
        <w:pStyle w:val="ListParagraph"/>
        <w:numPr>
          <w:ilvl w:val="0"/>
          <w:numId w:val="5"/>
        </w:numPr>
        <w:tabs>
          <w:tab w:val="left" w:pos="701"/>
        </w:tabs>
        <w:spacing w:before="8" w:line="220" w:lineRule="auto"/>
        <w:ind w:right="837"/>
        <w:rPr>
          <w:rFonts w:ascii="PMingLiU" w:eastAsia="PMingLiU" w:hAnsi="PMingLiU"/>
          <w:sz w:val="24"/>
          <w:lang w:eastAsia="zh-CN"/>
        </w:rPr>
      </w:pPr>
      <w:proofErr w:type="spellStart"/>
      <w:r w:rsidRPr="0095388B">
        <w:rPr>
          <w:rFonts w:ascii="PMingLiU" w:eastAsia="PMingLiU" w:hAnsi="PMingLiU"/>
          <w:sz w:val="24"/>
        </w:rPr>
        <w:t>重新檢測只應在先前檢測呈陰性並且自上次評估以來有新的風險因素的人士中進行</w:t>
      </w:r>
      <w:proofErr w:type="spellEnd"/>
    </w:p>
    <w:p w14:paraId="706AF92B" w14:textId="73574ECD" w:rsidR="00DB1C78" w:rsidRPr="0095388B" w:rsidRDefault="004A6232">
      <w:pPr>
        <w:pStyle w:val="ListParagraph"/>
        <w:numPr>
          <w:ilvl w:val="0"/>
          <w:numId w:val="5"/>
        </w:numPr>
        <w:tabs>
          <w:tab w:val="left" w:pos="701"/>
        </w:tabs>
        <w:spacing w:line="274" w:lineRule="exact"/>
        <w:rPr>
          <w:rFonts w:ascii="PMingLiU" w:eastAsia="PMingLiU" w:hAnsi="PMingLiU"/>
          <w:sz w:val="24"/>
          <w:lang w:eastAsia="zh-CN"/>
        </w:rPr>
      </w:pPr>
      <w:proofErr w:type="spellStart"/>
      <w:r w:rsidRPr="0095388B">
        <w:rPr>
          <w:rFonts w:ascii="PMingLiU" w:eastAsia="PMingLiU" w:hAnsi="PMingLiU" w:cs="Microsoft YaHei" w:hint="eastAsia"/>
          <w:sz w:val="24"/>
        </w:rPr>
        <w:t>若結核病</w:t>
      </w:r>
      <w:r w:rsidR="0095388B">
        <w:rPr>
          <w:rFonts w:ascii="PMingLiU" w:eastAsia="PMingLiU" w:hAnsi="PMingLiU" w:cs="Microsoft YaHei" w:hint="eastAsia"/>
          <w:sz w:val="24"/>
        </w:rPr>
        <w:t>症</w:t>
      </w:r>
      <w:r w:rsidRPr="0095388B">
        <w:rPr>
          <w:rFonts w:ascii="PMingLiU" w:eastAsia="PMingLiU" w:hAnsi="PMingLiU" w:cs="Microsoft YaHei" w:hint="eastAsia"/>
          <w:sz w:val="24"/>
        </w:rPr>
        <w:t>狀或胸部</w:t>
      </w:r>
      <w:proofErr w:type="spellEnd"/>
      <w:r w:rsidRPr="0095388B">
        <w:rPr>
          <w:rFonts w:ascii="PMingLiU" w:eastAsia="PMingLiU" w:hAnsi="PMingLiU" w:cs="Microsoft YaHei" w:hint="eastAsia"/>
          <w:sz w:val="24"/>
        </w:rPr>
        <w:t xml:space="preserve"> X </w:t>
      </w:r>
      <w:proofErr w:type="spellStart"/>
      <w:r w:rsidR="00127EB4" w:rsidRPr="0095388B">
        <w:rPr>
          <w:rFonts w:ascii="PMingLiU" w:eastAsia="PMingLiU" w:hAnsi="PMingLiU" w:cs="Microsoft YaHei" w:hint="eastAsia"/>
          <w:sz w:val="24"/>
        </w:rPr>
        <w:t>光檢查異常與活動性結核病相符</w:t>
      </w:r>
      <w:proofErr w:type="spellEnd"/>
      <w:r w:rsidR="00127EB4" w:rsidRPr="0095388B">
        <w:rPr>
          <w:rFonts w:ascii="PMingLiU" w:eastAsia="PMingLiU" w:hAnsi="PMingLiU" w:cs="Microsoft YaHei" w:hint="eastAsia"/>
          <w:sz w:val="24"/>
        </w:rPr>
        <w:t xml:space="preserve"> </w:t>
      </w:r>
      <w:r w:rsidR="0002455B">
        <w:rPr>
          <w:rFonts w:ascii="Wingdings" w:hAnsi="Wingdings"/>
          <w:sz w:val="24"/>
          <w:lang w:eastAsia="zh-CN"/>
        </w:rPr>
        <w:t></w:t>
      </w:r>
      <w:r w:rsidR="008E257B" w:rsidRPr="0095388B">
        <w:rPr>
          <w:rFonts w:ascii="PMingLiU" w:eastAsia="PMingLiU" w:hAnsi="PMingLiU"/>
          <w:sz w:val="24"/>
        </w:rPr>
        <w:t xml:space="preserve"> </w:t>
      </w:r>
      <w:proofErr w:type="spellStart"/>
      <w:r w:rsidR="00AE5846" w:rsidRPr="0095388B">
        <w:rPr>
          <w:rFonts w:ascii="PMingLiU" w:eastAsia="PMingLiU" w:hAnsi="PMingLiU"/>
          <w:sz w:val="24"/>
        </w:rPr>
        <w:t>評估是否患有活動性結核病</w:t>
      </w:r>
      <w:proofErr w:type="spellEnd"/>
    </w:p>
    <w:p w14:paraId="2952DE5B" w14:textId="16E5C0D1" w:rsidR="002963A0" w:rsidRPr="0095388B" w:rsidRDefault="009F58AD" w:rsidP="00ED265B">
      <w:pPr>
        <w:spacing w:before="29" w:line="264" w:lineRule="auto"/>
        <w:ind w:left="701" w:right="673"/>
        <w:rPr>
          <w:rFonts w:ascii="PMingLiU" w:eastAsia="PMingLiU" w:hAnsi="PMingLiU"/>
          <w:i/>
          <w:sz w:val="20"/>
          <w:lang w:eastAsia="zh-CN"/>
        </w:rPr>
      </w:pPr>
      <w:proofErr w:type="spellStart"/>
      <w:r w:rsidRPr="0095388B">
        <w:rPr>
          <w:rFonts w:ascii="PMingLiU" w:eastAsia="PMingLiU" w:hAnsi="PMingLiU"/>
          <w:i/>
          <w:spacing w:val="-2"/>
          <w:sz w:val="20"/>
        </w:rPr>
        <w:t>活動性結核病的完整評估包括</w:t>
      </w:r>
      <w:r w:rsidR="00D510B9" w:rsidRPr="0095388B">
        <w:rPr>
          <w:rFonts w:ascii="PMingLiU" w:eastAsia="PMingLiU" w:hAnsi="PMingLiU" w:hint="eastAsia"/>
          <w:i/>
          <w:spacing w:val="-2"/>
          <w:sz w:val="20"/>
        </w:rPr>
        <w:t>：</w:t>
      </w:r>
      <w:r w:rsidR="0095388B">
        <w:rPr>
          <w:rFonts w:ascii="PMingLiU" w:eastAsia="PMingLiU" w:hAnsi="PMingLiU"/>
          <w:i/>
          <w:spacing w:val="-7"/>
          <w:sz w:val="20"/>
        </w:rPr>
        <w:t>症</w:t>
      </w:r>
      <w:r w:rsidRPr="0095388B">
        <w:rPr>
          <w:rFonts w:ascii="PMingLiU" w:eastAsia="PMingLiU" w:hAnsi="PMingLiU"/>
          <w:i/>
          <w:spacing w:val="-7"/>
          <w:sz w:val="20"/>
        </w:rPr>
        <w:t>狀篩查，胸部X光檢查，如有指征，應進行痰液AFB塗片、培養法和核酸擴增檢測</w:t>
      </w:r>
      <w:proofErr w:type="spellEnd"/>
      <w:r w:rsidRPr="0095388B">
        <w:rPr>
          <w:rFonts w:ascii="PMingLiU" w:eastAsia="PMingLiU" w:hAnsi="PMingLiU"/>
          <w:i/>
          <w:spacing w:val="-7"/>
          <w:sz w:val="20"/>
        </w:rPr>
        <w:t xml:space="preserve">。 </w:t>
      </w:r>
      <w:proofErr w:type="spellStart"/>
      <w:r w:rsidRPr="0095388B">
        <w:rPr>
          <w:rFonts w:ascii="PMingLiU" w:eastAsia="PMingLiU" w:hAnsi="PMingLiU"/>
          <w:i/>
          <w:spacing w:val="-7"/>
          <w:sz w:val="20"/>
        </w:rPr>
        <w:t>結核菌素皮膚試驗或γ-干擾素釋放試驗結果呈陰性並不能排除活動性結核病</w:t>
      </w:r>
      <w:proofErr w:type="spellEnd"/>
      <w:r w:rsidRPr="0095388B">
        <w:rPr>
          <w:rFonts w:ascii="PMingLiU" w:eastAsia="PMingLiU" w:hAnsi="PMingLiU"/>
          <w:i/>
          <w:spacing w:val="-7"/>
          <w:sz w:val="20"/>
        </w:rPr>
        <w:t xml:space="preserve">。 </w:t>
      </w:r>
    </w:p>
    <w:p w14:paraId="706AF92D" w14:textId="6B291675" w:rsidR="00DB1C78" w:rsidRPr="0095388B" w:rsidRDefault="00DB1C78">
      <w:pPr>
        <w:pStyle w:val="BodyText"/>
        <w:spacing w:before="10" w:after="1"/>
        <w:rPr>
          <w:rFonts w:ascii="PMingLiU" w:eastAsia="PMingLiU" w:hAnsi="PMingLiU"/>
          <w:i/>
          <w:sz w:val="9"/>
          <w:lang w:eastAsia="zh-CN"/>
        </w:rPr>
      </w:pPr>
    </w:p>
    <w:tbl>
      <w:tblPr>
        <w:tblW w:w="0" w:type="auto"/>
        <w:tblInd w:w="21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668"/>
      </w:tblGrid>
      <w:tr w:rsidR="00DB1C78" w:rsidRPr="0095388B" w14:paraId="706AF931" w14:textId="77777777">
        <w:trPr>
          <w:trHeight w:val="1303"/>
        </w:trPr>
        <w:tc>
          <w:tcPr>
            <w:tcW w:w="10668" w:type="dxa"/>
            <w:shd w:val="clear" w:color="auto" w:fill="294655"/>
          </w:tcPr>
          <w:p w14:paraId="706AF92E" w14:textId="2A4690E8" w:rsidR="00DB1C78" w:rsidRPr="0095388B" w:rsidRDefault="00FE20A8">
            <w:pPr>
              <w:pStyle w:val="TableParagraph"/>
              <w:spacing w:before="120"/>
              <w:ind w:left="669" w:right="485" w:firstLine="0"/>
              <w:jc w:val="center"/>
              <w:rPr>
                <w:rFonts w:ascii="PMingLiU" w:eastAsia="PMingLiU" w:hAnsi="PMingLiU"/>
                <w:sz w:val="24"/>
                <w:lang w:eastAsia="zh-CN"/>
              </w:rPr>
            </w:pPr>
            <w:proofErr w:type="spellStart"/>
            <w:r w:rsidRPr="0095388B">
              <w:rPr>
                <w:rFonts w:ascii="PMingLiU" w:eastAsia="PMingLiU" w:hAnsi="PMingLiU" w:cs="Microsoft YaHei" w:hint="eastAsia"/>
                <w:color w:val="FFFFFF"/>
                <w:spacing w:val="-2"/>
                <w:sz w:val="24"/>
              </w:rPr>
              <w:t>勾選以下適當的風險因素方框</w:t>
            </w:r>
            <w:proofErr w:type="spellEnd"/>
            <w:r w:rsidRPr="0095388B">
              <w:rPr>
                <w:rFonts w:ascii="PMingLiU" w:eastAsia="PMingLiU" w:hAnsi="PMingLiU" w:cs="Microsoft YaHei" w:hint="eastAsia"/>
                <w:color w:val="FFFFFF"/>
                <w:spacing w:val="-2"/>
                <w:sz w:val="24"/>
              </w:rPr>
              <w:t>。</w:t>
            </w:r>
          </w:p>
          <w:p w14:paraId="706AF92F" w14:textId="36214858" w:rsidR="00DB1C78" w:rsidRPr="0095388B" w:rsidRDefault="007530B5">
            <w:pPr>
              <w:pStyle w:val="TableParagraph"/>
              <w:spacing w:before="140"/>
              <w:ind w:left="667" w:right="485" w:firstLine="0"/>
              <w:jc w:val="center"/>
              <w:rPr>
                <w:rFonts w:ascii="PMingLiU" w:eastAsia="PMingLiU" w:hAnsi="PMingLiU"/>
                <w:sz w:val="24"/>
                <w:lang w:eastAsia="zh-CN"/>
              </w:rPr>
            </w:pPr>
            <w:r w:rsidRPr="0095388B">
              <w:rPr>
                <w:rFonts w:ascii="PMingLiU" w:eastAsia="PMingLiU" w:hAnsi="PMingLiU"/>
                <w:color w:val="FFFFFF"/>
                <w:sz w:val="24"/>
              </w:rPr>
              <w:t>如果勾選了以下4個方框中的任意一個，建議進行結核病感染檢測</w:t>
            </w:r>
            <w:r w:rsidR="00143637" w:rsidRPr="0095388B">
              <w:rPr>
                <w:rFonts w:ascii="PMingLiU" w:eastAsia="PMingLiU" w:hAnsi="PMingLiU" w:cs="Microsoft YaHei" w:hint="eastAsia"/>
                <w:color w:val="FFFFFF"/>
                <w:spacing w:val="-2"/>
                <w:sz w:val="24"/>
              </w:rPr>
              <w:t xml:space="preserve">。 </w:t>
            </w:r>
          </w:p>
          <w:p w14:paraId="706AF930" w14:textId="3C0B63B0" w:rsidR="00DB1C78" w:rsidRPr="0095388B" w:rsidRDefault="00EF68CB">
            <w:pPr>
              <w:pStyle w:val="TableParagraph"/>
              <w:spacing w:before="147"/>
              <w:ind w:left="669" w:right="485" w:firstLine="0"/>
              <w:jc w:val="center"/>
              <w:rPr>
                <w:rFonts w:ascii="PMingLiU" w:eastAsia="PMingLiU" w:hAnsi="PMingLiU"/>
                <w:sz w:val="24"/>
                <w:lang w:eastAsia="zh-CN"/>
              </w:rPr>
            </w:pPr>
            <w:proofErr w:type="spellStart"/>
            <w:r w:rsidRPr="0095388B">
              <w:rPr>
                <w:rFonts w:ascii="PMingLiU" w:eastAsia="PMingLiU" w:hAnsi="PMingLiU"/>
                <w:color w:val="FFFFFF"/>
                <w:sz w:val="24"/>
              </w:rPr>
              <w:t>如果結核病感染檢測結果呈陽性，並排除了活動性結核病，建議進行結核病感染治療</w:t>
            </w:r>
            <w:proofErr w:type="spellEnd"/>
            <w:r w:rsidRPr="0095388B">
              <w:rPr>
                <w:rFonts w:ascii="PMingLiU" w:eastAsia="PMingLiU" w:hAnsi="PMingLiU"/>
                <w:color w:val="FFFFFF"/>
                <w:sz w:val="24"/>
              </w:rPr>
              <w:t>。</w:t>
            </w:r>
          </w:p>
        </w:tc>
      </w:tr>
      <w:tr w:rsidR="00DB1C78" w:rsidRPr="0095388B" w14:paraId="706AF936" w14:textId="77777777">
        <w:trPr>
          <w:trHeight w:val="2191"/>
        </w:trPr>
        <w:tc>
          <w:tcPr>
            <w:tcW w:w="10668" w:type="dxa"/>
            <w:tcBorders>
              <w:bottom w:val="single" w:sz="24" w:space="0" w:color="AEC5CC"/>
            </w:tcBorders>
          </w:tcPr>
          <w:p w14:paraId="706AF932" w14:textId="0D2FCEFF" w:rsidR="00DB1C78" w:rsidRPr="0095388B" w:rsidRDefault="008F414F">
            <w:pPr>
              <w:pStyle w:val="TableParagraph"/>
              <w:numPr>
                <w:ilvl w:val="0"/>
                <w:numId w:val="4"/>
              </w:numPr>
              <w:tabs>
                <w:tab w:val="left" w:pos="649"/>
              </w:tabs>
              <w:spacing w:before="226"/>
              <w:ind w:left="649" w:hanging="453"/>
              <w:rPr>
                <w:rFonts w:ascii="PMingLiU" w:eastAsia="PMingLiU" w:hAnsi="PMingLiU"/>
                <w:sz w:val="32"/>
                <w:lang w:eastAsia="zh-CN"/>
              </w:rPr>
            </w:pPr>
            <w:r w:rsidRPr="0095388B">
              <w:rPr>
                <w:rFonts w:ascii="PMingLiU" w:eastAsia="PMingLiU" w:hAnsi="PMingLiU" w:cs="Microsoft YaHei" w:hint="eastAsia"/>
                <w:position w:val="2"/>
                <w:sz w:val="32"/>
              </w:rPr>
              <w:t>在結核病發病率較高的國家</w:t>
            </w:r>
            <w:r w:rsidRPr="00305235">
              <w:rPr>
                <w:rFonts w:ascii="PMingLiU" w:eastAsia="PMingLiU" w:hAnsi="PMingLiU" w:cs="Microsoft YaHei" w:hint="eastAsia"/>
                <w:b/>
                <w:bCs/>
                <w:position w:val="2"/>
                <w:sz w:val="32"/>
              </w:rPr>
              <w:t>出生</w:t>
            </w:r>
            <w:r w:rsidR="002E7BEF" w:rsidRPr="00305235">
              <w:rPr>
                <w:rFonts w:ascii="PMingLiU" w:eastAsia="PMingLiU" w:hAnsi="PMingLiU" w:cs="Microsoft YaHei" w:hint="eastAsia"/>
                <w:b/>
                <w:bCs/>
                <w:position w:val="2"/>
                <w:sz w:val="32"/>
              </w:rPr>
              <w:t>、旅行或居住</w:t>
            </w:r>
            <w:r w:rsidR="002E7BEF" w:rsidRPr="00305235">
              <w:rPr>
                <w:rFonts w:ascii="PMingLiU" w:eastAsia="PMingLiU" w:hAnsi="PMingLiU" w:cs="Microsoft YaHei" w:hint="eastAsia"/>
                <w:position w:val="2"/>
                <w:sz w:val="32"/>
              </w:rPr>
              <w:t xml:space="preserve">至少1個月 </w:t>
            </w:r>
          </w:p>
          <w:p w14:paraId="706AF933" w14:textId="175ED674" w:rsidR="00DB1C78" w:rsidRPr="0095388B" w:rsidRDefault="007C0A6D">
            <w:pPr>
              <w:pStyle w:val="TableParagraph"/>
              <w:numPr>
                <w:ilvl w:val="1"/>
                <w:numId w:val="4"/>
              </w:numPr>
              <w:tabs>
                <w:tab w:val="left" w:pos="979"/>
                <w:tab w:val="left" w:pos="1010"/>
              </w:tabs>
              <w:spacing w:before="5" w:line="247" w:lineRule="auto"/>
              <w:ind w:right="1366" w:hanging="360"/>
              <w:rPr>
                <w:rFonts w:ascii="PMingLiU" w:eastAsia="PMingLiU" w:hAnsi="PMingLiU"/>
                <w:sz w:val="20"/>
                <w:lang w:eastAsia="zh-CN"/>
              </w:rPr>
            </w:pPr>
            <w:proofErr w:type="spellStart"/>
            <w:r w:rsidRPr="0095388B">
              <w:rPr>
                <w:rFonts w:ascii="PMingLiU" w:eastAsia="PMingLiU" w:hAnsi="PMingLiU" w:cs="Microsoft YaHei" w:hint="eastAsia"/>
                <w:spacing w:val="-2"/>
                <w:sz w:val="20"/>
              </w:rPr>
              <w:t>包括除了美國、加拿大、澳大利亞、紐西蘭或西歐和北歐國家以外的國家</w:t>
            </w:r>
            <w:proofErr w:type="spellEnd"/>
            <w:r w:rsidR="00CE691E" w:rsidRPr="005C13C1">
              <w:rPr>
                <w:rFonts w:ascii="PMingLiU" w:eastAsia="PMingLiU" w:hAnsi="PMingLiU" w:cs="Microsoft YaHei" w:hint="eastAsia"/>
                <w:spacing w:val="-2"/>
                <w:sz w:val="20"/>
                <w:lang w:eastAsia="zh-CN"/>
              </w:rPr>
              <w:t>。</w:t>
            </w:r>
          </w:p>
          <w:p w14:paraId="706AF934" w14:textId="35732013" w:rsidR="00DB1C78" w:rsidRPr="0095388B" w:rsidRDefault="00583DC8">
            <w:pPr>
              <w:pStyle w:val="TableParagraph"/>
              <w:numPr>
                <w:ilvl w:val="1"/>
                <w:numId w:val="4"/>
              </w:numPr>
              <w:tabs>
                <w:tab w:val="left" w:pos="979"/>
                <w:tab w:val="left" w:pos="1010"/>
              </w:tabs>
              <w:spacing w:before="76"/>
              <w:ind w:right="905" w:hanging="360"/>
              <w:rPr>
                <w:rFonts w:ascii="PMingLiU" w:eastAsia="PMingLiU" w:hAnsi="PMingLiU"/>
                <w:sz w:val="20"/>
                <w:lang w:eastAsia="zh-CN"/>
              </w:rPr>
            </w:pPr>
            <w:proofErr w:type="spellStart"/>
            <w:r w:rsidRPr="0095388B">
              <w:rPr>
                <w:rFonts w:ascii="PMingLiU" w:eastAsia="PMingLiU" w:hAnsi="PMingLiU"/>
                <w:spacing w:val="-2"/>
                <w:sz w:val="20"/>
              </w:rPr>
              <w:t>如果資源要求在此類人中確定優先順序，</w:t>
            </w:r>
            <w:r w:rsidR="00347B3F" w:rsidRPr="0095388B">
              <w:rPr>
                <w:rFonts w:ascii="PMingLiU" w:eastAsia="PMingLiU" w:hAnsi="PMingLiU"/>
                <w:b/>
                <w:spacing w:val="-2"/>
                <w:sz w:val="20"/>
              </w:rPr>
              <w:t>優先考慮</w:t>
            </w:r>
            <w:r w:rsidR="00347B3F" w:rsidRPr="0047248E">
              <w:rPr>
                <w:rFonts w:ascii="PMingLiU" w:eastAsia="PMingLiU" w:hAnsi="PMingLiU"/>
                <w:bCs/>
                <w:spacing w:val="-2"/>
                <w:sz w:val="20"/>
              </w:rPr>
              <w:t>至少存在一種病情惡化的醫學風險的患者</w:t>
            </w:r>
            <w:r w:rsidR="00327E69" w:rsidRPr="0095388B">
              <w:rPr>
                <w:rFonts w:ascii="PMingLiU" w:eastAsia="PMingLiU" w:hAnsi="PMingLiU" w:cs="Microsoft YaHei" w:hint="eastAsia"/>
                <w:spacing w:val="-2"/>
                <w:sz w:val="20"/>
              </w:rPr>
              <w:t>（風險清單請參閱</w:t>
            </w:r>
            <w:proofErr w:type="spellEnd"/>
            <w:r w:rsidR="0047248E">
              <w:rPr>
                <w:rFonts w:asciiTheme="minorEastAsia" w:eastAsiaTheme="minorEastAsia" w:hAnsiTheme="minorEastAsia" w:cs="Microsoft YaHei" w:hint="eastAsia"/>
                <w:spacing w:val="-2"/>
                <w:sz w:val="20"/>
                <w:lang w:eastAsia="zh-CN"/>
              </w:rPr>
              <w:t>「</w:t>
            </w:r>
            <w:proofErr w:type="spellStart"/>
            <w:r w:rsidR="00327E69" w:rsidRPr="0095388B">
              <w:rPr>
                <w:rFonts w:ascii="PMingLiU" w:eastAsia="PMingLiU" w:hAnsi="PMingLiU" w:cs="Microsoft YaHei" w:hint="eastAsia"/>
                <w:spacing w:val="-2"/>
                <w:sz w:val="20"/>
              </w:rPr>
              <w:t>資料便覽</w:t>
            </w:r>
            <w:proofErr w:type="spellEnd"/>
            <w:r w:rsidR="0047248E">
              <w:rPr>
                <w:rFonts w:asciiTheme="minorEastAsia" w:eastAsiaTheme="minorEastAsia" w:hAnsiTheme="minorEastAsia" w:cs="Microsoft YaHei" w:hint="eastAsia"/>
                <w:spacing w:val="-2"/>
                <w:sz w:val="20"/>
                <w:lang w:eastAsia="zh-CN"/>
              </w:rPr>
              <w:t>」</w:t>
            </w:r>
            <w:r w:rsidR="00327E69" w:rsidRPr="0095388B">
              <w:rPr>
                <w:rFonts w:ascii="PMingLiU" w:eastAsia="PMingLiU" w:hAnsi="PMingLiU" w:cs="Microsoft YaHei" w:hint="eastAsia"/>
                <w:spacing w:val="-2"/>
                <w:sz w:val="20"/>
              </w:rPr>
              <w:t>）</w:t>
            </w:r>
            <w:r w:rsidR="00CE691E" w:rsidRPr="005C13C1">
              <w:rPr>
                <w:rFonts w:ascii="PMingLiU" w:eastAsia="PMingLiU" w:hAnsi="PMingLiU" w:cs="Microsoft YaHei" w:hint="eastAsia"/>
                <w:spacing w:val="-2"/>
                <w:sz w:val="20"/>
                <w:lang w:eastAsia="zh-CN"/>
              </w:rPr>
              <w:t>。</w:t>
            </w:r>
          </w:p>
          <w:p w14:paraId="706AF935" w14:textId="1CA23F30" w:rsidR="00DB1C78" w:rsidRPr="0095388B" w:rsidRDefault="00AD1331">
            <w:pPr>
              <w:pStyle w:val="TableParagraph"/>
              <w:numPr>
                <w:ilvl w:val="1"/>
                <w:numId w:val="4"/>
              </w:numPr>
              <w:tabs>
                <w:tab w:val="left" w:pos="979"/>
              </w:tabs>
              <w:spacing w:before="84"/>
              <w:ind w:left="979"/>
              <w:rPr>
                <w:rFonts w:ascii="PMingLiU" w:eastAsia="PMingLiU" w:hAnsi="PMingLiU"/>
                <w:sz w:val="20"/>
                <w:lang w:eastAsia="zh-CN"/>
              </w:rPr>
            </w:pPr>
            <w:r w:rsidRPr="0095388B">
              <w:rPr>
                <w:rFonts w:ascii="PMingLiU" w:eastAsia="PMingLiU" w:hAnsi="PMingLiU" w:cs="Microsoft YaHei" w:hint="eastAsia"/>
                <w:spacing w:val="-2"/>
                <w:sz w:val="20"/>
              </w:rPr>
              <w:t>對於2歲及以上的非美國出生的人士，</w:t>
            </w:r>
            <w:r w:rsidR="00327E69" w:rsidRPr="0095388B">
              <w:rPr>
                <w:rFonts w:ascii="PMingLiU" w:eastAsia="PMingLiU" w:hAnsi="PMingLiU"/>
                <w:spacing w:val="-2"/>
                <w:sz w:val="20"/>
              </w:rPr>
              <w:t>γ-</w:t>
            </w:r>
            <w:r w:rsidRPr="0095388B">
              <w:rPr>
                <w:rFonts w:ascii="PMingLiU" w:eastAsia="PMingLiU" w:hAnsi="PMingLiU" w:cs="Microsoft YaHei" w:hint="eastAsia"/>
                <w:spacing w:val="-2"/>
                <w:sz w:val="20"/>
              </w:rPr>
              <w:t>干擾素釋放試驗優先於結核菌素皮膚試驗</w:t>
            </w:r>
            <w:r w:rsidR="00CE691E" w:rsidRPr="005C13C1">
              <w:rPr>
                <w:rFonts w:ascii="PMingLiU" w:eastAsia="PMingLiU" w:hAnsi="PMingLiU" w:cs="Microsoft YaHei" w:hint="eastAsia"/>
                <w:spacing w:val="-2"/>
                <w:sz w:val="20"/>
                <w:lang w:eastAsia="zh-CN"/>
              </w:rPr>
              <w:t>。</w:t>
            </w:r>
          </w:p>
        </w:tc>
      </w:tr>
      <w:tr w:rsidR="00DB1C78" w:rsidRPr="0095388B" w14:paraId="706AF939" w14:textId="77777777">
        <w:trPr>
          <w:trHeight w:val="1384"/>
        </w:trPr>
        <w:tc>
          <w:tcPr>
            <w:tcW w:w="10668" w:type="dxa"/>
            <w:tcBorders>
              <w:top w:val="single" w:sz="24" w:space="0" w:color="AEC5CC"/>
              <w:bottom w:val="single" w:sz="24" w:space="0" w:color="AEC5CC"/>
            </w:tcBorders>
          </w:tcPr>
          <w:p w14:paraId="706AF937" w14:textId="2F98FB06" w:rsidR="00DB1C78" w:rsidRPr="0095388B" w:rsidRDefault="00B8076F">
            <w:pPr>
              <w:pStyle w:val="TableParagraph"/>
              <w:numPr>
                <w:ilvl w:val="0"/>
                <w:numId w:val="3"/>
              </w:numPr>
              <w:tabs>
                <w:tab w:val="left" w:pos="649"/>
              </w:tabs>
              <w:spacing w:before="228"/>
              <w:ind w:left="649" w:hanging="453"/>
              <w:rPr>
                <w:rFonts w:ascii="PMingLiU" w:eastAsia="PMingLiU" w:hAnsi="PMingLiU"/>
                <w:sz w:val="32"/>
                <w:lang w:eastAsia="zh-CN"/>
              </w:rPr>
            </w:pPr>
            <w:proofErr w:type="spellStart"/>
            <w:r w:rsidRPr="0095388B">
              <w:rPr>
                <w:rFonts w:ascii="PMingLiU" w:eastAsia="PMingLiU" w:hAnsi="PMingLiU" w:cs="Microsoft YaHei" w:hint="eastAsia"/>
                <w:bCs/>
                <w:spacing w:val="-4"/>
                <w:position w:val="2"/>
                <w:sz w:val="32"/>
              </w:rPr>
              <w:t>目前的或計劃進行的</w:t>
            </w:r>
            <w:r w:rsidRPr="00DB17EB">
              <w:rPr>
                <w:rFonts w:ascii="PMingLiU" w:eastAsia="PMingLiU" w:hAnsi="PMingLiU" w:cs="Microsoft YaHei" w:hint="eastAsia"/>
                <w:b/>
                <w:spacing w:val="-4"/>
                <w:position w:val="2"/>
                <w:sz w:val="32"/>
              </w:rPr>
              <w:t>免疫抑制</w:t>
            </w:r>
            <w:proofErr w:type="spellEnd"/>
          </w:p>
          <w:p w14:paraId="706AF938" w14:textId="5C57F587" w:rsidR="00DB1C78" w:rsidRPr="0095388B" w:rsidRDefault="00632EBE">
            <w:pPr>
              <w:pStyle w:val="TableParagraph"/>
              <w:numPr>
                <w:ilvl w:val="1"/>
                <w:numId w:val="3"/>
              </w:numPr>
              <w:tabs>
                <w:tab w:val="left" w:pos="1010"/>
              </w:tabs>
              <w:spacing w:before="24" w:line="247" w:lineRule="auto"/>
              <w:ind w:right="1165"/>
              <w:rPr>
                <w:rFonts w:ascii="PMingLiU" w:eastAsia="PMingLiU" w:hAnsi="PMingLiU"/>
                <w:sz w:val="20"/>
                <w:lang w:eastAsia="zh-CN"/>
              </w:rPr>
            </w:pPr>
            <w:r w:rsidRPr="0095388B">
              <w:rPr>
                <w:rFonts w:ascii="PMingLiU" w:eastAsia="PMingLiU" w:hAnsi="PMingLiU" w:cs="Times New Roman"/>
                <w:spacing w:val="-2"/>
                <w:sz w:val="20"/>
              </w:rPr>
              <w:t>HIV感染者，</w:t>
            </w:r>
            <w:r w:rsidR="00744AC0" w:rsidRPr="0095388B">
              <w:rPr>
                <w:rFonts w:ascii="PMingLiU" w:eastAsia="PMingLiU" w:hAnsi="PMingLiU"/>
                <w:spacing w:val="-8"/>
                <w:sz w:val="20"/>
              </w:rPr>
              <w:t>器官移植接受者</w:t>
            </w:r>
            <w:r w:rsidR="00744AC0" w:rsidRPr="0095388B">
              <w:rPr>
                <w:rFonts w:ascii="PMingLiU" w:eastAsia="PMingLiU" w:hAnsi="PMingLiU" w:cs="Microsoft YaHei" w:hint="eastAsia"/>
                <w:spacing w:val="-8"/>
                <w:sz w:val="20"/>
              </w:rPr>
              <w:t>，接受了TNF-α</w:t>
            </w:r>
            <w:r w:rsidR="00744AC0" w:rsidRPr="0095388B">
              <w:rPr>
                <w:rFonts w:ascii="PMingLiU" w:eastAsia="PMingLiU" w:hAnsi="PMingLiU" w:cs="Times New Roman"/>
                <w:spacing w:val="-2"/>
                <w:sz w:val="20"/>
              </w:rPr>
              <w:t>拮抗劑（例如英夫利昔單抗</w:t>
            </w:r>
            <w:r w:rsidR="00EB3D8A" w:rsidRPr="0095388B">
              <w:rPr>
                <w:rFonts w:ascii="PMingLiU" w:eastAsia="PMingLiU" w:hAnsi="PMingLiU" w:hint="eastAsia"/>
                <w:spacing w:val="-2"/>
                <w:sz w:val="20"/>
              </w:rPr>
              <w:t>[</w:t>
            </w:r>
            <w:r w:rsidR="00EB3D8A" w:rsidRPr="0095388B">
              <w:rPr>
                <w:rFonts w:ascii="PMingLiU" w:eastAsia="PMingLiU" w:hAnsi="PMingLiU"/>
                <w:spacing w:val="-2"/>
                <w:sz w:val="20"/>
              </w:rPr>
              <w:t>infliximab]、依那西普</w:t>
            </w:r>
            <w:r w:rsidR="00EB3D8A" w:rsidRPr="0095388B">
              <w:rPr>
                <w:rFonts w:ascii="PMingLiU" w:eastAsia="PMingLiU" w:hAnsi="PMingLiU" w:hint="eastAsia"/>
                <w:spacing w:val="-2"/>
                <w:sz w:val="20"/>
              </w:rPr>
              <w:t>[</w:t>
            </w:r>
            <w:r w:rsidR="00EB3D8A" w:rsidRPr="0095388B">
              <w:rPr>
                <w:rFonts w:ascii="PMingLiU" w:eastAsia="PMingLiU" w:hAnsi="PMingLiU"/>
                <w:spacing w:val="-2"/>
                <w:sz w:val="20"/>
              </w:rPr>
              <w:t>etanercept]等）</w:t>
            </w:r>
            <w:r w:rsidR="00EB23DD" w:rsidRPr="0095388B">
              <w:rPr>
                <w:rFonts w:ascii="PMingLiU" w:eastAsia="PMingLiU" w:hAnsi="PMingLiU" w:hint="eastAsia"/>
                <w:spacing w:val="-2"/>
                <w:sz w:val="20"/>
              </w:rPr>
              <w:t>、</w:t>
            </w:r>
            <w:r w:rsidR="004B17CE" w:rsidRPr="0095388B">
              <w:rPr>
                <w:rFonts w:ascii="PMingLiU" w:eastAsia="PMingLiU" w:hAnsi="PMingLiU" w:cs="Microsoft YaHei" w:hint="eastAsia"/>
                <w:spacing w:val="-2"/>
                <w:sz w:val="20"/>
              </w:rPr>
              <w:t>相當於潑尼松（</w:t>
            </w:r>
            <w:proofErr w:type="gramStart"/>
            <w:r w:rsidR="00FE2F26" w:rsidRPr="0095388B">
              <w:rPr>
                <w:rFonts w:ascii="PMingLiU" w:eastAsia="PMingLiU" w:hAnsi="PMingLiU" w:cs="Microsoft YaHei"/>
                <w:spacing w:val="-2"/>
                <w:sz w:val="20"/>
              </w:rPr>
              <w:t>prednisone)</w:t>
            </w:r>
            <w:r w:rsidR="004B17CE" w:rsidRPr="0095388B">
              <w:rPr>
                <w:rFonts w:ascii="PMingLiU" w:eastAsia="PMingLiU" w:hAnsi="PMingLiU" w:cs="Microsoft YaHei" w:hint="eastAsia"/>
                <w:spacing w:val="-2"/>
                <w:sz w:val="20"/>
              </w:rPr>
              <w:t>的類固醇</w:t>
            </w:r>
            <w:proofErr w:type="gramEnd"/>
            <w:r w:rsidR="004B17CE" w:rsidRPr="0095388B">
              <w:rPr>
                <w:rFonts w:ascii="PMingLiU" w:eastAsia="PMingLiU" w:hAnsi="PMingLiU" w:cs="Microsoft YaHei" w:hint="eastAsia"/>
                <w:spacing w:val="-2"/>
                <w:sz w:val="20"/>
              </w:rPr>
              <w:t>（每天</w:t>
            </w:r>
            <w:r w:rsidR="004B17CE" w:rsidRPr="0095388B">
              <w:rPr>
                <w:rFonts w:ascii="Times New Roman" w:eastAsia="PMingLiU" w:hAnsi="Times New Roman" w:cs="Times New Roman"/>
                <w:spacing w:val="-2"/>
                <w:sz w:val="20"/>
              </w:rPr>
              <w:t>≥</w:t>
            </w:r>
            <w:r w:rsidR="004B17CE" w:rsidRPr="0095388B">
              <w:rPr>
                <w:rFonts w:ascii="PMingLiU" w:eastAsia="PMingLiU" w:hAnsi="PMingLiU" w:cs="Microsoft YaHei" w:hint="eastAsia"/>
                <w:spacing w:val="-2"/>
                <w:sz w:val="20"/>
              </w:rPr>
              <w:t>15毫克</w:t>
            </w:r>
            <w:r w:rsidR="009574E1" w:rsidRPr="0095388B">
              <w:rPr>
                <w:rFonts w:ascii="PMingLiU" w:eastAsia="PMingLiU" w:hAnsi="PMingLiU" w:hint="eastAsia"/>
                <w:sz w:val="20"/>
              </w:rPr>
              <w:t>，</w:t>
            </w:r>
            <w:r w:rsidR="00AC4E44" w:rsidRPr="0095388B">
              <w:rPr>
                <w:rFonts w:ascii="PMingLiU" w:eastAsia="PMingLiU" w:hAnsi="PMingLiU" w:cs="Microsoft YaHei" w:hint="eastAsia"/>
                <w:sz w:val="20"/>
              </w:rPr>
              <w:t>持續</w:t>
            </w:r>
            <w:r w:rsidR="00AC4E44" w:rsidRPr="0095388B">
              <w:rPr>
                <w:rFonts w:ascii="Times New Roman" w:eastAsia="PMingLiU" w:hAnsi="Times New Roman" w:cs="Times New Roman"/>
                <w:sz w:val="20"/>
              </w:rPr>
              <w:t>≥</w:t>
            </w:r>
            <w:r w:rsidR="00AC4E44" w:rsidRPr="0095388B">
              <w:rPr>
                <w:rFonts w:ascii="PMingLiU" w:eastAsia="PMingLiU" w:hAnsi="PMingLiU" w:cs="Microsoft YaHei" w:hint="eastAsia"/>
                <w:sz w:val="20"/>
              </w:rPr>
              <w:t>1個月）</w:t>
            </w:r>
            <w:r w:rsidR="009574E1" w:rsidRPr="0095388B">
              <w:rPr>
                <w:rFonts w:ascii="PMingLiU" w:eastAsia="PMingLiU" w:hAnsi="PMingLiU"/>
                <w:spacing w:val="-4"/>
                <w:sz w:val="20"/>
              </w:rPr>
              <w:t>或其他免疫抑製藥物的治療</w:t>
            </w:r>
            <w:r w:rsidR="00CE691E" w:rsidRPr="005C13C1">
              <w:rPr>
                <w:rFonts w:ascii="PMingLiU" w:eastAsia="PMingLiU" w:hAnsi="PMingLiU" w:hint="eastAsia"/>
                <w:spacing w:val="-4"/>
                <w:sz w:val="20"/>
                <w:lang w:eastAsia="zh-CN"/>
              </w:rPr>
              <w:t>。</w:t>
            </w:r>
          </w:p>
        </w:tc>
      </w:tr>
      <w:tr w:rsidR="00DB1C78" w:rsidRPr="0095388B" w14:paraId="706AF93C" w14:textId="77777777">
        <w:trPr>
          <w:trHeight w:val="1202"/>
        </w:trPr>
        <w:tc>
          <w:tcPr>
            <w:tcW w:w="10668" w:type="dxa"/>
            <w:tcBorders>
              <w:top w:val="single" w:sz="24" w:space="0" w:color="AEC5CC"/>
              <w:bottom w:val="single" w:sz="24" w:space="0" w:color="AEC5CC"/>
            </w:tcBorders>
          </w:tcPr>
          <w:p w14:paraId="706AF93A" w14:textId="4E5CF7F7" w:rsidR="00DB1C78" w:rsidRPr="0093598D" w:rsidRDefault="009F1D12">
            <w:pPr>
              <w:pStyle w:val="TableParagraph"/>
              <w:numPr>
                <w:ilvl w:val="0"/>
                <w:numId w:val="2"/>
              </w:numPr>
              <w:tabs>
                <w:tab w:val="left" w:pos="649"/>
              </w:tabs>
              <w:spacing w:before="217" w:line="433" w:lineRule="exact"/>
              <w:ind w:left="649" w:hanging="453"/>
              <w:rPr>
                <w:rFonts w:ascii="PMingLiU" w:eastAsia="PMingLiU" w:hAnsi="PMingLiU"/>
                <w:b/>
                <w:bCs/>
                <w:sz w:val="32"/>
                <w:lang w:eastAsia="zh-CN"/>
              </w:rPr>
            </w:pPr>
            <w:proofErr w:type="spellStart"/>
            <w:r w:rsidRPr="0095388B">
              <w:rPr>
                <w:rFonts w:ascii="PMingLiU" w:eastAsia="PMingLiU" w:hAnsi="PMingLiU" w:cs="Microsoft YaHei" w:hint="eastAsia"/>
                <w:spacing w:val="-4"/>
                <w:position w:val="2"/>
                <w:sz w:val="32"/>
              </w:rPr>
              <w:t>在任何時間與傳染性結核病患者有過</w:t>
            </w:r>
            <w:r w:rsidRPr="0093598D">
              <w:rPr>
                <w:rFonts w:ascii="PMingLiU" w:eastAsia="PMingLiU" w:hAnsi="PMingLiU" w:cs="Microsoft YaHei" w:hint="eastAsia"/>
                <w:b/>
                <w:bCs/>
                <w:spacing w:val="-4"/>
                <w:position w:val="2"/>
                <w:sz w:val="32"/>
              </w:rPr>
              <w:t>密切接觸</w:t>
            </w:r>
            <w:proofErr w:type="spellEnd"/>
          </w:p>
          <w:p w14:paraId="706AF93B" w14:textId="609C0425" w:rsidR="00DB1C78" w:rsidRPr="0095388B" w:rsidRDefault="00EE08E2">
            <w:pPr>
              <w:pStyle w:val="TableParagraph"/>
              <w:numPr>
                <w:ilvl w:val="1"/>
                <w:numId w:val="2"/>
              </w:numPr>
              <w:tabs>
                <w:tab w:val="left" w:pos="1010"/>
              </w:tabs>
              <w:ind w:right="509"/>
              <w:rPr>
                <w:rFonts w:ascii="PMingLiU" w:eastAsia="PMingLiU" w:hAnsi="PMingLiU"/>
                <w:sz w:val="20"/>
                <w:lang w:eastAsia="zh-CN"/>
              </w:rPr>
            </w:pPr>
            <w:proofErr w:type="spellStart"/>
            <w:r w:rsidRPr="0095388B">
              <w:rPr>
                <w:rFonts w:ascii="PMingLiU" w:eastAsia="PMingLiU" w:hAnsi="PMingLiU"/>
                <w:spacing w:val="-2"/>
                <w:sz w:val="20"/>
              </w:rPr>
              <w:t>疾病控制與預防中心</w:t>
            </w:r>
            <w:proofErr w:type="spellEnd"/>
            <w:r w:rsidR="0093598D">
              <w:rPr>
                <w:rFonts w:ascii="PMingLiU" w:eastAsiaTheme="minorEastAsia" w:hAnsi="PMingLiU" w:hint="eastAsia"/>
                <w:spacing w:val="-2"/>
                <w:sz w:val="20"/>
                <w:lang w:eastAsia="zh-CN"/>
              </w:rPr>
              <w:t xml:space="preserve"> (</w:t>
            </w:r>
            <w:r w:rsidRPr="0095388B">
              <w:rPr>
                <w:rFonts w:ascii="PMingLiU" w:eastAsia="PMingLiU" w:hAnsi="PMingLiU" w:cs="Times New Roman"/>
                <w:spacing w:val="-2"/>
                <w:sz w:val="20"/>
              </w:rPr>
              <w:t>CDC</w:t>
            </w:r>
            <w:r w:rsidR="0093598D">
              <w:rPr>
                <w:rFonts w:ascii="PMingLiU" w:eastAsia="PMingLiU" w:hAnsi="PMingLiU" w:cs="Times New Roman"/>
                <w:spacing w:val="-2"/>
                <w:sz w:val="20"/>
              </w:rPr>
              <w:t xml:space="preserve">) </w:t>
            </w:r>
            <w:proofErr w:type="spellStart"/>
            <w:r w:rsidR="00A16385" w:rsidRPr="0095388B">
              <w:rPr>
                <w:rFonts w:ascii="PMingLiU" w:eastAsia="PMingLiU" w:hAnsi="PMingLiU"/>
                <w:spacing w:val="-2"/>
                <w:sz w:val="20"/>
              </w:rPr>
              <w:t>表示評估接觸者和治療受感染的接觸者是美國消除結核病策略的重要組成部分</w:t>
            </w:r>
            <w:proofErr w:type="spellEnd"/>
            <w:r w:rsidR="00CE691E" w:rsidRPr="005C13C1">
              <w:rPr>
                <w:rFonts w:ascii="PMingLiU" w:eastAsia="PMingLiU" w:hAnsi="PMingLiU" w:hint="eastAsia"/>
                <w:spacing w:val="-2"/>
                <w:sz w:val="20"/>
                <w:lang w:eastAsia="zh-CN"/>
              </w:rPr>
              <w:t>。</w:t>
            </w:r>
          </w:p>
        </w:tc>
      </w:tr>
      <w:tr w:rsidR="00DB1C78" w:rsidRPr="0095388B" w14:paraId="706AF93F" w14:textId="77777777">
        <w:trPr>
          <w:trHeight w:val="1451"/>
        </w:trPr>
        <w:tc>
          <w:tcPr>
            <w:tcW w:w="10668" w:type="dxa"/>
            <w:tcBorders>
              <w:top w:val="single" w:sz="24" w:space="0" w:color="AEC5CC"/>
              <w:bottom w:val="single" w:sz="18" w:space="0" w:color="000000"/>
            </w:tcBorders>
          </w:tcPr>
          <w:p w14:paraId="706AF93D" w14:textId="2861AF35" w:rsidR="00DB1C78" w:rsidRPr="0095388B" w:rsidRDefault="00083DF5" w:rsidP="00777DE0">
            <w:pPr>
              <w:pStyle w:val="TableParagraph"/>
              <w:numPr>
                <w:ilvl w:val="0"/>
                <w:numId w:val="1"/>
              </w:numPr>
              <w:tabs>
                <w:tab w:val="left" w:pos="649"/>
              </w:tabs>
              <w:spacing w:before="223" w:line="443" w:lineRule="exact"/>
              <w:ind w:left="649" w:hanging="453"/>
              <w:rPr>
                <w:rFonts w:ascii="PMingLiU" w:eastAsia="PMingLiU" w:hAnsi="PMingLiU"/>
                <w:b/>
                <w:sz w:val="32"/>
              </w:rPr>
            </w:pPr>
            <w:proofErr w:type="spellStart"/>
            <w:r w:rsidRPr="0095388B">
              <w:rPr>
                <w:rFonts w:ascii="PMingLiU" w:eastAsia="PMingLiU" w:hAnsi="PMingLiU" w:cs="Microsoft YaHei" w:hint="eastAsia"/>
                <w:b/>
                <w:sz w:val="32"/>
              </w:rPr>
              <w:t>無家可歸史或監禁史</w:t>
            </w:r>
            <w:proofErr w:type="spellEnd"/>
          </w:p>
          <w:p w14:paraId="706AF93E" w14:textId="63B63855" w:rsidR="00DB1C78" w:rsidRPr="0095388B" w:rsidRDefault="00D01825">
            <w:pPr>
              <w:pStyle w:val="TableParagraph"/>
              <w:numPr>
                <w:ilvl w:val="1"/>
                <w:numId w:val="1"/>
              </w:numPr>
              <w:tabs>
                <w:tab w:val="left" w:pos="941"/>
                <w:tab w:val="left" w:pos="1010"/>
              </w:tabs>
              <w:spacing w:before="3" w:line="235" w:lineRule="auto"/>
              <w:ind w:right="228" w:hanging="360"/>
              <w:rPr>
                <w:rFonts w:ascii="PMingLiU" w:eastAsia="PMingLiU" w:hAnsi="PMingLiU"/>
                <w:sz w:val="20"/>
                <w:lang w:eastAsia="zh-CN"/>
              </w:rPr>
            </w:pPr>
            <w:proofErr w:type="spellStart"/>
            <w:r w:rsidRPr="0095388B">
              <w:rPr>
                <w:rFonts w:ascii="PMingLiU" w:eastAsia="PMingLiU" w:hAnsi="PMingLiU"/>
                <w:spacing w:val="-8"/>
                <w:sz w:val="20"/>
              </w:rPr>
              <w:t>美國預防醫學服務工作組</w:t>
            </w:r>
            <w:proofErr w:type="spellEnd"/>
            <w:r w:rsidRPr="0095388B">
              <w:rPr>
                <w:rFonts w:ascii="PMingLiU" w:eastAsia="PMingLiU" w:hAnsi="PMingLiU"/>
                <w:spacing w:val="-8"/>
                <w:sz w:val="20"/>
              </w:rPr>
              <w:t xml:space="preserve"> </w:t>
            </w:r>
            <w:r w:rsidR="004D706D">
              <w:rPr>
                <w:rFonts w:ascii="PMingLiU" w:eastAsia="PMingLiU" w:hAnsi="PMingLiU"/>
                <w:spacing w:val="-8"/>
                <w:sz w:val="20"/>
              </w:rPr>
              <w:t>(</w:t>
            </w:r>
            <w:r w:rsidR="00CC1FD0" w:rsidRPr="0095388B">
              <w:rPr>
                <w:rFonts w:ascii="PMingLiU" w:eastAsia="PMingLiU" w:hAnsi="PMingLiU" w:cs="Times New Roman"/>
                <w:spacing w:val="-8"/>
                <w:sz w:val="20"/>
              </w:rPr>
              <w:t>USPSTF</w:t>
            </w:r>
            <w:r w:rsidR="004D706D">
              <w:rPr>
                <w:rFonts w:ascii="PMingLiU" w:eastAsia="PMingLiU" w:hAnsi="PMingLiU" w:cs="Times New Roman"/>
                <w:spacing w:val="-8"/>
                <w:sz w:val="20"/>
              </w:rPr>
              <w:t>)</w:t>
            </w:r>
            <w:r w:rsidR="00CC1FD0" w:rsidRPr="0095388B">
              <w:rPr>
                <w:rFonts w:ascii="PMingLiU" w:eastAsia="PMingLiU" w:hAnsi="PMingLiU" w:cs="Times New Roman"/>
                <w:spacing w:val="-8"/>
                <w:sz w:val="20"/>
              </w:rPr>
              <w:t xml:space="preserve"> </w:t>
            </w:r>
            <w:proofErr w:type="spellStart"/>
            <w:r w:rsidR="00F37438" w:rsidRPr="0095388B">
              <w:rPr>
                <w:rFonts w:ascii="PMingLiU" w:eastAsia="PMingLiU" w:hAnsi="PMingLiU"/>
                <w:sz w:val="20"/>
              </w:rPr>
              <w:t>建議根據增加的暴露風險對結核病感染風險更大的人群進行篩查，包括在高風險聚集環境</w:t>
            </w:r>
            <w:r w:rsidR="00E51B08" w:rsidRPr="0095388B">
              <w:rPr>
                <w:rFonts w:ascii="PMingLiU" w:eastAsia="PMingLiU" w:hAnsi="PMingLiU" w:cs="Microsoft YaHei" w:hint="eastAsia"/>
                <w:sz w:val="20"/>
              </w:rPr>
              <w:t>（例如，</w:t>
            </w:r>
            <w:r w:rsidR="00FE65BF" w:rsidRPr="0095388B">
              <w:rPr>
                <w:rFonts w:ascii="PMingLiU" w:eastAsia="PMingLiU" w:hAnsi="PMingLiU"/>
                <w:spacing w:val="-2"/>
                <w:sz w:val="20"/>
              </w:rPr>
              <w:t>無家可歸者收容所和懲教設施）</w:t>
            </w:r>
            <w:r w:rsidR="0069699D" w:rsidRPr="000D0585">
              <w:rPr>
                <w:rFonts w:ascii="PMingLiU" w:eastAsia="PMingLiU" w:hAnsi="PMingLiU" w:cs="Microsoft YaHei" w:hint="eastAsia"/>
                <w:sz w:val="20"/>
                <w:szCs w:val="20"/>
              </w:rPr>
              <w:t>中</w:t>
            </w:r>
            <w:proofErr w:type="spellEnd"/>
            <w:r w:rsidR="00FE1573" w:rsidRPr="00FE1573">
              <w:rPr>
                <w:rFonts w:ascii="PMingLiU" w:eastAsia="PMingLiU" w:hAnsi="PMingLiU" w:cs="Microsoft YaHei" w:hint="eastAsia"/>
                <w:sz w:val="20"/>
                <w:szCs w:val="20"/>
                <w:lang w:eastAsia="zh-CN"/>
              </w:rPr>
              <w:t>生活</w:t>
            </w:r>
            <w:proofErr w:type="spellStart"/>
            <w:r w:rsidR="0069699D" w:rsidRPr="000D0585">
              <w:rPr>
                <w:rFonts w:ascii="PMingLiU" w:eastAsia="PMingLiU" w:hAnsi="PMingLiU" w:cs="Microsoft YaHei" w:hint="eastAsia"/>
                <w:sz w:val="20"/>
                <w:szCs w:val="20"/>
              </w:rPr>
              <w:t>過的人</w:t>
            </w:r>
            <w:proofErr w:type="spellEnd"/>
            <w:r w:rsidR="00CE691E" w:rsidRPr="005C13C1">
              <w:rPr>
                <w:rFonts w:ascii="PMingLiU" w:eastAsia="PMingLiU" w:hAnsi="PMingLiU" w:cs="Microsoft YaHei" w:hint="eastAsia"/>
                <w:sz w:val="20"/>
                <w:szCs w:val="20"/>
                <w:lang w:eastAsia="zh-CN"/>
              </w:rPr>
              <w:t>。</w:t>
            </w:r>
          </w:p>
        </w:tc>
      </w:tr>
    </w:tbl>
    <w:p w14:paraId="706AF940" w14:textId="3CF1902E" w:rsidR="00DB1C78" w:rsidRPr="0095388B" w:rsidRDefault="00632EBE">
      <w:pPr>
        <w:spacing w:before="124"/>
        <w:ind w:left="432"/>
        <w:rPr>
          <w:rFonts w:ascii="PMingLiU" w:eastAsia="PMingLiU" w:hAnsi="PMingLiU"/>
          <w:sz w:val="32"/>
          <w:lang w:eastAsia="zh-CN"/>
        </w:rPr>
      </w:pPr>
      <w:r w:rsidRPr="0095388B">
        <w:rPr>
          <w:rFonts w:ascii="PMingLiU" w:eastAsia="PMingLiU" w:hAnsi="PMingLiU"/>
          <w:color w:val="4A859D"/>
          <w:sz w:val="40"/>
        </w:rPr>
        <w:t xml:space="preserve"> </w:t>
      </w:r>
      <w:r w:rsidR="00913430" w:rsidRPr="0095388B">
        <w:rPr>
          <w:rFonts w:ascii="PMingLiU" w:eastAsia="PMingLiU" w:hAnsi="PMingLiU" w:cs="Microsoft YaHei" w:hint="eastAsia"/>
          <w:sz w:val="32"/>
        </w:rPr>
        <w:t xml:space="preserve">無; </w:t>
      </w:r>
      <w:proofErr w:type="spellStart"/>
      <w:r w:rsidR="00913430" w:rsidRPr="0095388B">
        <w:rPr>
          <w:rFonts w:ascii="PMingLiU" w:eastAsia="PMingLiU" w:hAnsi="PMingLiU"/>
          <w:sz w:val="32"/>
        </w:rPr>
        <w:t>目前沒有結核病檢測指征</w:t>
      </w:r>
      <w:proofErr w:type="spellEnd"/>
      <w:r w:rsidR="00913430" w:rsidRPr="0095388B">
        <w:rPr>
          <w:rFonts w:ascii="PMingLiU" w:eastAsia="PMingLiU" w:hAnsi="PMingLiU"/>
          <w:sz w:val="32"/>
        </w:rPr>
        <w:t xml:space="preserve">。 </w:t>
      </w:r>
    </w:p>
    <w:p w14:paraId="706AF941" w14:textId="77777777" w:rsidR="00DB1C78" w:rsidRPr="0095388B" w:rsidRDefault="00632EBE">
      <w:pPr>
        <w:pStyle w:val="BodyText"/>
        <w:spacing w:before="11"/>
        <w:rPr>
          <w:rFonts w:ascii="PMingLiU" w:eastAsia="PMingLiU" w:hAnsi="PMingLiU"/>
          <w:sz w:val="10"/>
          <w:lang w:eastAsia="zh-CN"/>
        </w:rPr>
      </w:pPr>
      <w:r w:rsidRPr="0095388B">
        <w:rPr>
          <w:rFonts w:ascii="PMingLiU" w:eastAsia="PMingLiU" w:hAnsi="PMingLiU"/>
          <w:noProof/>
        </w:rPr>
        <mc:AlternateContent>
          <mc:Choice Requires="wps">
            <w:drawing>
              <wp:anchor distT="0" distB="0" distL="0" distR="0" simplePos="0" relativeHeight="251655680" behindDoc="1" locked="0" layoutInCell="1" allowOverlap="1" wp14:anchorId="706AF948" wp14:editId="706AF949">
                <wp:simplePos x="0" y="0"/>
                <wp:positionH relativeFrom="page">
                  <wp:posOffset>594359</wp:posOffset>
                </wp:positionH>
                <wp:positionV relativeFrom="paragraph">
                  <wp:posOffset>98459</wp:posOffset>
                </wp:positionV>
                <wp:extent cx="3108960" cy="8185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818515"/>
                        </a:xfrm>
                        <a:prstGeom prst="rect">
                          <a:avLst/>
                        </a:prstGeom>
                        <a:ln w="6096">
                          <a:solidFill>
                            <a:srgbClr val="A7A8A7"/>
                          </a:solidFill>
                          <a:prstDash val="solid"/>
                        </a:ln>
                      </wps:spPr>
                      <wps:txbx>
                        <w:txbxContent>
                          <w:p w14:paraId="706AF956" w14:textId="77777777" w:rsidR="00DB1C78" w:rsidRDefault="00DB1C78">
                            <w:pPr>
                              <w:pStyle w:val="BodyText"/>
                              <w:spacing w:before="10"/>
                              <w:rPr>
                                <w:sz w:val="22"/>
                              </w:rPr>
                            </w:pPr>
                          </w:p>
                          <w:p w14:paraId="706AF957" w14:textId="11FF95F6" w:rsidR="00DB1C78" w:rsidRDefault="00471CEB">
                            <w:pPr>
                              <w:tabs>
                                <w:tab w:val="left" w:pos="4613"/>
                              </w:tabs>
                              <w:spacing w:line="501" w:lineRule="auto"/>
                              <w:ind w:left="143" w:right="270"/>
                              <w:rPr>
                                <w:b/>
                                <w:sz w:val="20"/>
                                <w:lang w:eastAsia="zh-CN"/>
                              </w:rPr>
                            </w:pPr>
                            <w:proofErr w:type="spellStart"/>
                            <w:r>
                              <w:rPr>
                                <w:b/>
                                <w:sz w:val="20"/>
                              </w:rPr>
                              <w:t>醫療服務提供者</w:t>
                            </w:r>
                            <w:proofErr w:type="spellEnd"/>
                            <w:r>
                              <w:rPr>
                                <w:b/>
                                <w:sz w:val="20"/>
                              </w:rPr>
                              <w:t xml:space="preserve">： </w:t>
                            </w:r>
                            <w:r>
                              <w:rPr>
                                <w:b/>
                                <w:sz w:val="20"/>
                                <w:u w:val="single"/>
                              </w:rPr>
                              <w:tab/>
                            </w:r>
                            <w:r>
                              <w:rPr>
                                <w:b/>
                                <w:sz w:val="20"/>
                              </w:rPr>
                              <w:t xml:space="preserve"> </w:t>
                            </w:r>
                            <w:proofErr w:type="spellStart"/>
                            <w:r>
                              <w:rPr>
                                <w:b/>
                                <w:sz w:val="20"/>
                              </w:rPr>
                              <w:t>評估日期</w:t>
                            </w:r>
                            <w:proofErr w:type="spellEnd"/>
                            <w:r>
                              <w:rPr>
                                <w:b/>
                                <w:sz w:val="20"/>
                              </w:rPr>
                              <w:t xml:space="preserve">： </w:t>
                            </w:r>
                            <w:r>
                              <w:rPr>
                                <w:b/>
                                <w:sz w:val="20"/>
                                <w:u w:val="single"/>
                              </w:rPr>
                              <w:tab/>
                            </w:r>
                          </w:p>
                        </w:txbxContent>
                      </wps:txbx>
                      <wps:bodyPr wrap="square" lIns="0" tIns="0" rIns="0" bIns="0" rtlCol="0">
                        <a:noAutofit/>
                      </wps:bodyPr>
                    </wps:wsp>
                  </a:graphicData>
                </a:graphic>
              </wp:anchor>
            </w:drawing>
          </mc:Choice>
          <mc:Fallback>
            <w:pict>
              <v:shapetype w14:anchorId="706AF948" id="_x0000_t202" coordsize="21600,21600" o:spt="202" path="m,l,21600r21600,l21600,xe">
                <v:stroke joinstyle="miter"/>
                <v:path gradientshapeok="t" o:connecttype="rect"/>
              </v:shapetype>
              <v:shape id="Textbox 2" o:spid="_x0000_s1026" type="#_x0000_t202" style="position:absolute;margin-left:46.8pt;margin-top:7.75pt;width:244.8pt;height:64.4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" filled="f" strokecolor="#a7a8a7" strokeweight=".48pt">
                <v:path arrowok="t"/>
                <v:textbox inset="0,0,0,0">
                  <w:txbxContent>
                    <w:p w14:paraId="706AF956" w14:textId="77777777" w:rsidR="00DB1C78" w:rsidRDefault="00DB1C78">
                      <w:pPr>
                        <w:pStyle w:val="BodyText"/>
                        <w:spacing w:before="10"/>
                        <w:rPr>
                          <w:sz w:val="22"/>
                        </w:rPr>
                      </w:pPr>
                    </w:p>
                    <w:p w14:paraId="706AF957" w14:textId="11FF95F6" w:rsidR="00DB1C78" w:rsidRDefault="00471CEB">
                      <w:pPr>
                        <w:tabs>
                          <w:tab w:val="left" w:pos="4613"/>
                        </w:tabs>
                        <w:spacing w:line="501" w:lineRule="auto"/>
                        <w:ind w:left="143" w:right="270"/>
                        <w:rPr>
                          <w:b/>
                          <w:sz w:val="20"/>
                          <w:lang w:eastAsia="zh-CN"/>
                        </w:rPr>
                      </w:pPr>
                      <w:proofErr w:type="spellStart"/>
                      <w:r>
                        <w:rPr>
                          <w:b/>
                          <w:sz w:val="20"/>
                        </w:rPr>
                        <w:t>醫療服務提供者</w:t>
                      </w:r>
                      <w:proofErr w:type="spellEnd"/>
                      <w:r>
                        <w:rPr>
                          <w:b/>
                          <w:sz w:val="20"/>
                        </w:rPr>
                        <w:t xml:space="preserve">： </w:t>
                      </w:r>
                      <w:r>
                        <w:rPr>
                          <w:b/>
                          <w:sz w:val="20"/>
                          <w:u w:val="single"/>
                        </w:rPr>
                        <w:tab/>
                      </w:r>
                      <w:r>
                        <w:rPr>
                          <w:b/>
                          <w:sz w:val="20"/>
                        </w:rPr>
                        <w:t xml:space="preserve"> </w:t>
                      </w:r>
                      <w:proofErr w:type="spellStart"/>
                      <w:r>
                        <w:rPr>
                          <w:b/>
                          <w:sz w:val="20"/>
                        </w:rPr>
                        <w:t>評估日期</w:t>
                      </w:r>
                      <w:proofErr w:type="spellEnd"/>
                      <w:r>
                        <w:rPr>
                          <w:b/>
                          <w:sz w:val="20"/>
                        </w:rPr>
                        <w:t xml:space="preserve">： </w:t>
                      </w:r>
                      <w:r>
                        <w:rPr>
                          <w:b/>
                          <w:sz w:val="20"/>
                          <w:u w:val="single"/>
                        </w:rPr>
                        <w:tab/>
                      </w:r>
                    </w:p>
                  </w:txbxContent>
                </v:textbox>
                <w10:wrap type="topAndBottom" anchorx="page"/>
              </v:shape>
            </w:pict>
          </mc:Fallback>
        </mc:AlternateContent>
      </w:r>
      <w:r w:rsidRPr="0095388B">
        <w:rPr>
          <w:rFonts w:ascii="PMingLiU" w:eastAsia="PMingLiU" w:hAnsi="PMingLiU"/>
          <w:noProof/>
        </w:rPr>
        <mc:AlternateContent>
          <mc:Choice Requires="wps">
            <w:drawing>
              <wp:anchor distT="0" distB="0" distL="0" distR="0" simplePos="0" relativeHeight="251656704" behindDoc="1" locked="0" layoutInCell="1" allowOverlap="1" wp14:anchorId="706AF94A" wp14:editId="706AF94B">
                <wp:simplePos x="0" y="0"/>
                <wp:positionH relativeFrom="page">
                  <wp:posOffset>4095115</wp:posOffset>
                </wp:positionH>
                <wp:positionV relativeFrom="paragraph">
                  <wp:posOffset>99094</wp:posOffset>
                </wp:positionV>
                <wp:extent cx="3173095" cy="8096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3095" cy="809625"/>
                        </a:xfrm>
                        <a:prstGeom prst="rect">
                          <a:avLst/>
                        </a:prstGeom>
                        <a:ln w="6096">
                          <a:solidFill>
                            <a:srgbClr val="A7A8A7"/>
                          </a:solidFill>
                          <a:prstDash val="solid"/>
                        </a:ln>
                      </wps:spPr>
                      <wps:txbx>
                        <w:txbxContent>
                          <w:p w14:paraId="706AF958" w14:textId="1900292E" w:rsidR="00DB1C78" w:rsidRDefault="00B1408C">
                            <w:pPr>
                              <w:tabs>
                                <w:tab w:val="left" w:pos="4598"/>
                              </w:tabs>
                              <w:spacing w:before="14" w:line="480" w:lineRule="atLeast"/>
                              <w:ind w:left="145" w:right="382"/>
                              <w:rPr>
                                <w:b/>
                                <w:sz w:val="20"/>
                                <w:lang w:eastAsia="zh-CN"/>
                              </w:rPr>
                            </w:pPr>
                            <w:proofErr w:type="spellStart"/>
                            <w:r>
                              <w:rPr>
                                <w:b/>
                                <w:sz w:val="20"/>
                              </w:rPr>
                              <w:t>患者姓名</w:t>
                            </w:r>
                            <w:proofErr w:type="spellEnd"/>
                            <w:r>
                              <w:rPr>
                                <w:b/>
                                <w:sz w:val="20"/>
                              </w:rPr>
                              <w:t xml:space="preserve">： </w:t>
                            </w:r>
                            <w:r>
                              <w:rPr>
                                <w:b/>
                                <w:sz w:val="20"/>
                                <w:u w:val="single"/>
                              </w:rPr>
                              <w:tab/>
                            </w:r>
                            <w:r>
                              <w:rPr>
                                <w:b/>
                                <w:sz w:val="20"/>
                              </w:rPr>
                              <w:t xml:space="preserve"> </w:t>
                            </w:r>
                            <w:proofErr w:type="spellStart"/>
                            <w:r>
                              <w:rPr>
                                <w:b/>
                                <w:sz w:val="20"/>
                              </w:rPr>
                              <w:t>出生日期</w:t>
                            </w:r>
                            <w:proofErr w:type="spellEnd"/>
                            <w:r>
                              <w:rPr>
                                <w:b/>
                                <w:sz w:val="20"/>
                              </w:rPr>
                              <w:t xml:space="preserve">： </w:t>
                            </w:r>
                            <w:r>
                              <w:rPr>
                                <w:b/>
                                <w:sz w:val="20"/>
                                <w:u w:val="single"/>
                              </w:rPr>
                              <w:tab/>
                            </w:r>
                          </w:p>
                          <w:p w14:paraId="2A3D2785" w14:textId="385E068A" w:rsidR="00B41C0C" w:rsidRDefault="00B41C0C" w:rsidP="00B41C0C">
                            <w:pPr>
                              <w:spacing w:before="65"/>
                              <w:jc w:val="right"/>
                              <w:rPr>
                                <w:i/>
                                <w:sz w:val="16"/>
                                <w:lang w:eastAsia="zh-CN"/>
                              </w:rPr>
                            </w:pPr>
                            <w:r>
                              <w:rPr>
                                <w:i/>
                                <w:spacing w:val="-2"/>
                                <w:sz w:val="16"/>
                              </w:rPr>
                              <w:t>（</w:t>
                            </w:r>
                            <w:proofErr w:type="spellStart"/>
                            <w:r>
                              <w:rPr>
                                <w:i/>
                                <w:spacing w:val="-2"/>
                                <w:sz w:val="16"/>
                              </w:rPr>
                              <w:t>如適用，請在此處放置貼紙</w:t>
                            </w:r>
                            <w:proofErr w:type="spellEnd"/>
                            <w:r>
                              <w:rPr>
                                <w:i/>
                                <w:spacing w:val="-2"/>
                                <w:sz w:val="16"/>
                              </w:rPr>
                              <w:t>）</w:t>
                            </w:r>
                          </w:p>
                          <w:p w14:paraId="706AF959" w14:textId="7BF2BCAD" w:rsidR="00DB1C78" w:rsidRDefault="00DB1C78">
                            <w:pPr>
                              <w:spacing w:before="65"/>
                              <w:ind w:left="2838"/>
                              <w:rPr>
                                <w:i/>
                                <w:sz w:val="16"/>
                                <w:lang w:eastAsia="zh-CN"/>
                              </w:rPr>
                            </w:pPr>
                          </w:p>
                        </w:txbxContent>
                      </wps:txbx>
                      <wps:bodyPr wrap="square" lIns="0" tIns="0" rIns="0" bIns="0" rtlCol="0">
                        <a:noAutofit/>
                      </wps:bodyPr>
                    </wps:wsp>
                  </a:graphicData>
                </a:graphic>
              </wp:anchor>
            </w:drawing>
          </mc:Choice>
          <mc:Fallback>
            <w:pict>
              <v:shape w14:anchorId="706AF94A" id="Textbox 3" o:spid="_x0000_s1027" type="#_x0000_t202" style="position:absolute;margin-left:322.45pt;margin-top:7.8pt;width:249.85pt;height:63.7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" filled="f" strokecolor="#a7a8a7" strokeweight=".48pt">
                <v:path arrowok="t"/>
                <v:textbox inset="0,0,0,0">
                  <w:txbxContent>
                    <w:p w14:paraId="706AF958" w14:textId="1900292E" w:rsidR="00DB1C78" w:rsidRDefault="00B1408C">
                      <w:pPr>
                        <w:tabs>
                          <w:tab w:val="left" w:pos="4598"/>
                        </w:tabs>
                        <w:spacing w:before="14" w:line="480" w:lineRule="atLeast"/>
                        <w:ind w:left="145" w:right="382"/>
                        <w:rPr>
                          <w:b/>
                          <w:sz w:val="20"/>
                          <w:lang w:eastAsia="zh-CN"/>
                        </w:rPr>
                      </w:pPr>
                      <w:proofErr w:type="spellStart"/>
                      <w:r>
                        <w:rPr>
                          <w:b/>
                          <w:sz w:val="20"/>
                        </w:rPr>
                        <w:t>患者姓名</w:t>
                      </w:r>
                      <w:proofErr w:type="spellEnd"/>
                      <w:r>
                        <w:rPr>
                          <w:b/>
                          <w:sz w:val="20"/>
                        </w:rPr>
                        <w:t xml:space="preserve">： </w:t>
                      </w:r>
                      <w:r>
                        <w:rPr>
                          <w:b/>
                          <w:sz w:val="20"/>
                          <w:u w:val="single"/>
                        </w:rPr>
                        <w:tab/>
                      </w:r>
                      <w:r>
                        <w:rPr>
                          <w:b/>
                          <w:sz w:val="20"/>
                        </w:rPr>
                        <w:t xml:space="preserve"> </w:t>
                      </w:r>
                      <w:proofErr w:type="spellStart"/>
                      <w:r>
                        <w:rPr>
                          <w:b/>
                          <w:sz w:val="20"/>
                        </w:rPr>
                        <w:t>出生日期</w:t>
                      </w:r>
                      <w:proofErr w:type="spellEnd"/>
                      <w:r>
                        <w:rPr>
                          <w:b/>
                          <w:sz w:val="20"/>
                        </w:rPr>
                        <w:t xml:space="preserve">： </w:t>
                      </w:r>
                      <w:r>
                        <w:rPr>
                          <w:b/>
                          <w:sz w:val="20"/>
                          <w:u w:val="single"/>
                        </w:rPr>
                        <w:tab/>
                      </w:r>
                    </w:p>
                    <w:p w14:paraId="2A3D2785" w14:textId="385E068A" w:rsidR="00B41C0C" w:rsidRDefault="00B41C0C" w:rsidP="00B41C0C">
                      <w:pPr>
                        <w:spacing w:before="65"/>
                        <w:jc w:val="right"/>
                        <w:rPr>
                          <w:i/>
                          <w:sz w:val="16"/>
                          <w:lang w:eastAsia="zh-CN"/>
                        </w:rPr>
                      </w:pPr>
                      <w:r>
                        <w:rPr>
                          <w:i/>
                          <w:spacing w:val="-2"/>
                          <w:sz w:val="16"/>
                        </w:rPr>
                        <w:t>（</w:t>
                      </w:r>
                      <w:proofErr w:type="spellStart"/>
                      <w:r>
                        <w:rPr>
                          <w:i/>
                          <w:spacing w:val="-2"/>
                          <w:sz w:val="16"/>
                        </w:rPr>
                        <w:t>如適用，請在此處放置貼紙</w:t>
                      </w:r>
                      <w:proofErr w:type="spellEnd"/>
                      <w:r>
                        <w:rPr>
                          <w:i/>
                          <w:spacing w:val="-2"/>
                          <w:sz w:val="16"/>
                        </w:rPr>
                        <w:t>）</w:t>
                      </w:r>
                    </w:p>
                    <w:p w14:paraId="706AF959" w14:textId="7BF2BCAD" w:rsidR="00DB1C78" w:rsidRDefault="00DB1C78">
                      <w:pPr>
                        <w:spacing w:before="65"/>
                        <w:ind w:left="2838"/>
                        <w:rPr>
                          <w:i/>
                          <w:sz w:val="16"/>
                          <w:lang w:eastAsia="zh-CN"/>
                        </w:rPr>
                      </w:pPr>
                    </w:p>
                  </w:txbxContent>
                </v:textbox>
                <w10:wrap type="topAndBottom" anchorx="page"/>
              </v:shape>
            </w:pict>
          </mc:Fallback>
        </mc:AlternateContent>
      </w:r>
    </w:p>
    <w:p w14:paraId="706AF942" w14:textId="2CFA6DAE" w:rsidR="00DB1C78" w:rsidRPr="0095388B" w:rsidRDefault="009147F1" w:rsidP="009147F1">
      <w:pPr>
        <w:spacing w:before="174"/>
        <w:rPr>
          <w:rFonts w:ascii="PMingLiU" w:eastAsia="PMingLiU" w:hAnsi="PMingLiU"/>
          <w:sz w:val="20"/>
          <w:lang w:eastAsia="zh-CN"/>
        </w:rPr>
      </w:pPr>
      <w:r>
        <w:rPr>
          <w:rFonts w:ascii="PMingLiU" w:eastAsia="PMingLiU" w:hAnsi="PMingLiU" w:cs="Microsoft YaHei"/>
          <w:spacing w:val="-9"/>
          <w:sz w:val="20"/>
        </w:rPr>
        <w:t xml:space="preserve">                                  </w:t>
      </w:r>
      <w:proofErr w:type="spellStart"/>
      <w:r w:rsidR="00B170C0" w:rsidRPr="0095388B">
        <w:rPr>
          <w:rFonts w:ascii="PMingLiU" w:eastAsia="PMingLiU" w:hAnsi="PMingLiU" w:cs="Microsoft YaHei" w:hint="eastAsia"/>
          <w:spacing w:val="-9"/>
          <w:sz w:val="20"/>
        </w:rPr>
        <w:t>請參閱</w:t>
      </w:r>
      <w:r w:rsidR="00D161B7" w:rsidRPr="0095388B">
        <w:rPr>
          <w:rFonts w:ascii="PMingLiU" w:eastAsia="PMingLiU" w:hAnsi="PMingLiU" w:cs="Microsoft YaHei" w:hint="eastAsia"/>
          <w:b/>
          <w:color w:val="2F849B"/>
          <w:spacing w:val="-2"/>
          <w:sz w:val="20"/>
        </w:rPr>
        <w:t>《洛杉磯縣成人結核病風險評估指南</w:t>
      </w:r>
      <w:proofErr w:type="spellEnd"/>
      <w:r w:rsidR="00D161B7" w:rsidRPr="0095388B">
        <w:rPr>
          <w:rFonts w:ascii="PMingLiU" w:eastAsia="PMingLiU" w:hAnsi="PMingLiU" w:cs="Microsoft YaHei" w:hint="eastAsia"/>
          <w:b/>
          <w:color w:val="2F849B"/>
          <w:spacing w:val="-2"/>
          <w:sz w:val="20"/>
        </w:rPr>
        <w:t>》</w:t>
      </w:r>
      <w:r w:rsidR="006A7A13" w:rsidRPr="0095388B">
        <w:rPr>
          <w:rFonts w:ascii="PMingLiU" w:eastAsia="PMingLiU" w:hAnsi="PMingLiU" w:cs="Microsoft YaHei" w:hint="eastAsia"/>
          <w:spacing w:val="-2"/>
          <w:sz w:val="20"/>
        </w:rPr>
        <w:t>，</w:t>
      </w:r>
      <w:proofErr w:type="spellStart"/>
      <w:r w:rsidR="006A7A13" w:rsidRPr="0095388B">
        <w:rPr>
          <w:rFonts w:ascii="PMingLiU" w:eastAsia="PMingLiU" w:hAnsi="PMingLiU" w:cs="Microsoft YaHei" w:hint="eastAsia"/>
          <w:spacing w:val="-2"/>
          <w:sz w:val="20"/>
        </w:rPr>
        <w:t>瞭解更多有關使用此工具的資訊</w:t>
      </w:r>
      <w:proofErr w:type="spellEnd"/>
      <w:r w:rsidR="006A7A13" w:rsidRPr="0095388B">
        <w:rPr>
          <w:rFonts w:ascii="PMingLiU" w:eastAsia="PMingLiU" w:hAnsi="PMingLiU" w:cs="Microsoft YaHei" w:hint="eastAsia"/>
          <w:spacing w:val="-2"/>
          <w:sz w:val="20"/>
        </w:rPr>
        <w:t>。</w:t>
      </w:r>
    </w:p>
    <w:p w14:paraId="5AE0B8BE" w14:textId="14D3C18B" w:rsidR="00886D72" w:rsidRPr="0087230E" w:rsidRDefault="004F6595" w:rsidP="00B170C0">
      <w:pPr>
        <w:spacing w:before="68" w:line="242" w:lineRule="auto"/>
        <w:ind w:left="1927" w:right="1666" w:hanging="1128"/>
        <w:jc w:val="center"/>
        <w:rPr>
          <w:rFonts w:ascii="PMingLiU" w:eastAsiaTheme="minorEastAsia" w:hAnsi="PMingLiU" w:cs="Microsoft YaHei"/>
          <w:b/>
          <w:color w:val="4F676F"/>
          <w:spacing w:val="-2"/>
          <w:sz w:val="18"/>
          <w:lang w:eastAsia="zh-CN"/>
        </w:rPr>
      </w:pPr>
      <w:proofErr w:type="spellStart"/>
      <w:r w:rsidRPr="0095388B">
        <w:rPr>
          <w:rFonts w:ascii="PMingLiU" w:eastAsia="PMingLiU" w:hAnsi="PMingLiU" w:cs="Microsoft YaHei" w:hint="eastAsia"/>
          <w:b/>
          <w:color w:val="4F676F"/>
          <w:spacing w:val="-7"/>
          <w:sz w:val="18"/>
        </w:rPr>
        <w:t>改編自</w:t>
      </w:r>
      <w:proofErr w:type="spellEnd"/>
      <w:r w:rsidRPr="0095388B">
        <w:rPr>
          <w:rFonts w:ascii="PMingLiU" w:eastAsia="PMingLiU" w:hAnsi="PMingLiU" w:cs="Microsoft YaHei" w:hint="eastAsia"/>
          <w:b/>
          <w:color w:val="4F676F"/>
          <w:spacing w:val="-7"/>
          <w:sz w:val="18"/>
        </w:rPr>
        <w:t xml:space="preserve"> </w:t>
      </w:r>
      <w:hyperlink r:id="rId5" w:history="1">
        <w:r w:rsidR="005C2BC3" w:rsidRPr="0095388B">
          <w:rPr>
            <w:rStyle w:val="Hyperlink"/>
            <w:rFonts w:ascii="PMingLiU" w:eastAsia="PMingLiU" w:hAnsi="PMingLiU" w:cs="Times New Roman"/>
            <w:b/>
            <w:spacing w:val="-2"/>
            <w:sz w:val="18"/>
          </w:rPr>
          <w:t xml:space="preserve">www.ctca.org </w:t>
        </w:r>
      </w:hyperlink>
      <w:r w:rsidR="005C2BC3" w:rsidRPr="0095388B">
        <w:rPr>
          <w:rFonts w:ascii="PMingLiU" w:eastAsia="PMingLiU" w:hAnsi="PMingLiU" w:cs="Times New Roman"/>
          <w:b/>
          <w:color w:val="4F676F"/>
          <w:spacing w:val="-2"/>
          <w:sz w:val="18"/>
        </w:rPr>
        <w:t xml:space="preserve"> </w:t>
      </w:r>
      <w:proofErr w:type="spellStart"/>
      <w:r w:rsidRPr="0095388B">
        <w:rPr>
          <w:rFonts w:ascii="PMingLiU" w:eastAsia="PMingLiU" w:hAnsi="PMingLiU" w:cs="Microsoft YaHei" w:hint="eastAsia"/>
          <w:b/>
          <w:color w:val="4F676F"/>
          <w:spacing w:val="-2"/>
          <w:sz w:val="18"/>
        </w:rPr>
        <w:t>的醫療服務提供者頁面上的「加州結核病風險評估」以供洛杉磯縣使用</w:t>
      </w:r>
      <w:proofErr w:type="spellEnd"/>
      <w:r w:rsidR="00E12DCC" w:rsidRPr="00E12DCC">
        <w:rPr>
          <w:rFonts w:ascii="PMingLiU" w:eastAsia="PMingLiU" w:hAnsi="PMingLiU" w:cs="Microsoft YaHei" w:hint="eastAsia"/>
          <w:b/>
          <w:color w:val="4F676F"/>
          <w:spacing w:val="-2"/>
          <w:sz w:val="18"/>
          <w:lang w:eastAsia="zh-CN"/>
        </w:rPr>
        <w:t>。</w:t>
      </w:r>
    </w:p>
    <w:p w14:paraId="706AF945" w14:textId="43539748" w:rsidR="00DB1C78" w:rsidRPr="004D4BCC" w:rsidRDefault="00FB2A8A" w:rsidP="009147F1">
      <w:pPr>
        <w:spacing w:before="68" w:line="242" w:lineRule="auto"/>
        <w:ind w:left="1927" w:right="1666" w:hanging="1128"/>
        <w:jc w:val="center"/>
        <w:rPr>
          <w:rFonts w:ascii="PMingLiU" w:eastAsia="PMingLiU" w:hAnsi="PMingLiU"/>
          <w:spacing w:val="-4"/>
          <w:sz w:val="16"/>
          <w:szCs w:val="16"/>
        </w:rPr>
      </w:pPr>
      <w:r w:rsidRPr="00FB2A8A">
        <w:rPr>
          <w:rFonts w:ascii="PMingLiU" w:eastAsia="PMingLiU" w:hAnsi="PMingLiU" w:cs="Microsoft YaHei"/>
          <w:b/>
          <w:noProof/>
          <w:color w:val="4F676F"/>
          <w:sz w:val="18"/>
        </w:rPr>
        <mc:AlternateContent>
          <mc:Choice Requires="wps">
            <w:drawing>
              <wp:anchor distT="45720" distB="45720" distL="114300" distR="114300" simplePos="0" relativeHeight="251663872" behindDoc="0" locked="0" layoutInCell="1" allowOverlap="1" wp14:anchorId="78DF704E" wp14:editId="65B9AF47">
                <wp:simplePos x="0" y="0"/>
                <wp:positionH relativeFrom="column">
                  <wp:posOffset>-1905</wp:posOffset>
                </wp:positionH>
                <wp:positionV relativeFrom="paragraph">
                  <wp:posOffset>716280</wp:posOffset>
                </wp:positionV>
                <wp:extent cx="236093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422338" w14:textId="2B3D280E" w:rsidR="00FB2A8A" w:rsidRDefault="00FB2A8A">
                            <w:r w:rsidRPr="0095388B">
                              <w:rPr>
                                <w:rFonts w:ascii="PMingLiU" w:eastAsia="PMingLiU" w:hAnsi="PMingLiU"/>
                                <w:spacing w:val="-4"/>
                                <w:sz w:val="16"/>
                                <w:szCs w:val="16"/>
                              </w:rPr>
                              <w:t xml:space="preserve">2018年1月 </w:t>
                            </w:r>
                            <w:r w:rsidRPr="0095388B">
                              <w:rPr>
                                <w:rFonts w:ascii="PMingLiU" w:eastAsia="PMingLiU" w:hAnsi="PMingLiU" w:cs="Microsoft YaHei"/>
                                <w:spacing w:val="-4"/>
                                <w:sz w:val="16"/>
                                <w:szCs w:val="16"/>
                              </w:rPr>
                              <w:t>（</w:t>
                            </w:r>
                            <w:r>
                              <w:rPr>
                                <w:rFonts w:ascii="PMingLiU" w:eastAsia="PMingLiU" w:hAnsi="PMingLiU" w:cs="Microsoft YaHei"/>
                                <w:spacing w:val="-4"/>
                                <w:sz w:val="16"/>
                                <w:szCs w:val="16"/>
                              </w:rPr>
                              <w:t>Traditional</w:t>
                            </w:r>
                            <w:r w:rsidRPr="0095388B">
                              <w:rPr>
                                <w:rFonts w:ascii="PMingLiU" w:eastAsia="PMingLiU" w:hAnsi="PMingLiU" w:cs="Microsoft YaHei"/>
                                <w:spacing w:val="-4"/>
                                <w:sz w:val="16"/>
                                <w:szCs w:val="16"/>
                              </w:rPr>
                              <w:t xml:space="preserve"> Chinese）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DF704E" id="Text Box 2" o:spid="_x0000_s1028" type="#_x0000_t202" style="position:absolute;left:0;text-align:left;margin-left:-.15pt;margin-top:56.4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" stroked="f">
                <v:textbox style="mso-fit-shape-to-text:t">
                  <w:txbxContent>
                    <w:p w14:paraId="5D422338" w14:textId="2B3D280E" w:rsidR="00FB2A8A" w:rsidRDefault="00FB2A8A">
                      <w:r w:rsidRPr="0095388B">
                        <w:rPr>
                          <w:rFonts w:ascii="PMingLiU" w:eastAsia="PMingLiU" w:hAnsi="PMingLiU"/>
                          <w:spacing w:val="-4"/>
                          <w:sz w:val="16"/>
                          <w:szCs w:val="16"/>
                        </w:rPr>
                        <w:t xml:space="preserve">2018年1月 </w:t>
                      </w:r>
                      <w:r w:rsidRPr="0095388B">
                        <w:rPr>
                          <w:rFonts w:ascii="PMingLiU" w:eastAsia="PMingLiU" w:hAnsi="PMingLiU" w:cs="Microsoft YaHei"/>
                          <w:spacing w:val="-4"/>
                          <w:sz w:val="16"/>
                          <w:szCs w:val="16"/>
                        </w:rPr>
                        <w:t>（</w:t>
                      </w:r>
                      <w:r>
                        <w:rPr>
                          <w:rFonts w:ascii="PMingLiU" w:eastAsia="PMingLiU" w:hAnsi="PMingLiU" w:cs="Microsoft YaHei"/>
                          <w:spacing w:val="-4"/>
                          <w:sz w:val="16"/>
                          <w:szCs w:val="16"/>
                        </w:rPr>
                        <w:t>Traditional</w:t>
                      </w:r>
                      <w:r w:rsidRPr="0095388B">
                        <w:rPr>
                          <w:rFonts w:ascii="PMingLiU" w:eastAsia="PMingLiU" w:hAnsi="PMingLiU" w:cs="Microsoft YaHei"/>
                          <w:spacing w:val="-4"/>
                          <w:sz w:val="16"/>
                          <w:szCs w:val="16"/>
                        </w:rPr>
                        <w:t xml:space="preserve"> Chinese）</w:t>
                      </w:r>
                    </w:p>
                  </w:txbxContent>
                </v:textbox>
                <w10:wrap type="square"/>
              </v:shape>
            </w:pict>
          </mc:Fallback>
        </mc:AlternateContent>
      </w:r>
      <w:proofErr w:type="spellStart"/>
      <w:r w:rsidR="00800392" w:rsidRPr="0095388B">
        <w:rPr>
          <w:rFonts w:ascii="PMingLiU" w:eastAsia="PMingLiU" w:hAnsi="PMingLiU" w:cs="Microsoft YaHei" w:hint="eastAsia"/>
          <w:b/>
          <w:color w:val="4F676F"/>
          <w:sz w:val="18"/>
        </w:rPr>
        <w:t>確保您有最新版本，請訪問</w:t>
      </w:r>
      <w:proofErr w:type="spellEnd"/>
      <w:r w:rsidR="00800392" w:rsidRPr="0095388B">
        <w:rPr>
          <w:rFonts w:ascii="PMingLiU" w:eastAsia="PMingLiU" w:hAnsi="PMingLiU" w:cs="Microsoft YaHei" w:hint="eastAsia"/>
          <w:b/>
          <w:color w:val="4F676F"/>
          <w:sz w:val="18"/>
        </w:rPr>
        <w:t xml:space="preserve"> </w:t>
      </w:r>
      <w:hyperlink r:id="rId6">
        <w:r w:rsidR="00800392" w:rsidRPr="0095388B">
          <w:rPr>
            <w:rFonts w:ascii="PMingLiU" w:eastAsia="PMingLiU" w:hAnsi="PMingLiU" w:cs="Times New Roman"/>
            <w:color w:val="0000FF"/>
            <w:sz w:val="18"/>
            <w:u w:val="single" w:color="0000FF"/>
          </w:rPr>
          <w:t>http://publichealth.lacounty.gov/tb/providertoolkit.htm</w:t>
        </w:r>
      </w:hyperlink>
      <w:r w:rsidR="00E12DCC" w:rsidRPr="00E12DCC">
        <w:rPr>
          <w:rFonts w:ascii="PMingLiU" w:eastAsia="PMingLiU" w:hAnsi="PMingLiU" w:cs="Microsoft YaHei" w:hint="eastAsia"/>
          <w:b/>
          <w:color w:val="4F676F"/>
          <w:spacing w:val="-2"/>
          <w:sz w:val="18"/>
          <w:lang w:eastAsia="zh-CN"/>
        </w:rPr>
        <w:t>。</w:t>
      </w:r>
      <w:r w:rsidR="00632EBE" w:rsidRPr="0095388B">
        <w:rPr>
          <w:rFonts w:ascii="PMingLiU" w:eastAsia="PMingLiU" w:hAnsi="PMingLiU"/>
          <w:noProof/>
        </w:rPr>
        <w:drawing>
          <wp:anchor distT="0" distB="0" distL="0" distR="0" simplePos="0" relativeHeight="251657728" behindDoc="1" locked="0" layoutInCell="1" allowOverlap="1" wp14:anchorId="706AF94C" wp14:editId="706AF94D">
            <wp:simplePos x="0" y="0"/>
            <wp:positionH relativeFrom="page">
              <wp:posOffset>492260</wp:posOffset>
            </wp:positionH>
            <wp:positionV relativeFrom="paragraph">
              <wp:posOffset>356050</wp:posOffset>
            </wp:positionV>
            <wp:extent cx="826726" cy="27889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26726" cy="278892"/>
                    </a:xfrm>
                    <a:prstGeom prst="rect">
                      <a:avLst/>
                    </a:prstGeom>
                  </pic:spPr>
                </pic:pic>
              </a:graphicData>
            </a:graphic>
          </wp:anchor>
        </w:drawing>
      </w:r>
      <w:r w:rsidR="00632EBE" w:rsidRPr="0095388B">
        <w:rPr>
          <w:rFonts w:ascii="PMingLiU" w:eastAsia="PMingLiU" w:hAnsi="PMingLiU"/>
          <w:noProof/>
        </w:rPr>
        <w:drawing>
          <wp:anchor distT="0" distB="0" distL="0" distR="0" simplePos="0" relativeHeight="251658752" behindDoc="1" locked="0" layoutInCell="1" allowOverlap="1" wp14:anchorId="706AF94E" wp14:editId="706AF94F">
            <wp:simplePos x="0" y="0"/>
            <wp:positionH relativeFrom="page">
              <wp:posOffset>1953895</wp:posOffset>
            </wp:positionH>
            <wp:positionV relativeFrom="paragraph">
              <wp:posOffset>224339</wp:posOffset>
            </wp:positionV>
            <wp:extent cx="560434" cy="47091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60434" cy="470916"/>
                    </a:xfrm>
                    <a:prstGeom prst="rect">
                      <a:avLst/>
                    </a:prstGeom>
                  </pic:spPr>
                </pic:pic>
              </a:graphicData>
            </a:graphic>
          </wp:anchor>
        </w:drawing>
      </w:r>
      <w:r w:rsidR="00632EBE" w:rsidRPr="0095388B">
        <w:rPr>
          <w:rFonts w:ascii="PMingLiU" w:eastAsia="PMingLiU" w:hAnsi="PMingLiU"/>
          <w:noProof/>
        </w:rPr>
        <w:drawing>
          <wp:anchor distT="0" distB="0" distL="0" distR="0" simplePos="0" relativeHeight="251659776" behindDoc="1" locked="0" layoutInCell="1" allowOverlap="1" wp14:anchorId="706AF950" wp14:editId="706AF951">
            <wp:simplePos x="0" y="0"/>
            <wp:positionH relativeFrom="page">
              <wp:posOffset>3215004</wp:posOffset>
            </wp:positionH>
            <wp:positionV relativeFrom="paragraph">
              <wp:posOffset>376104</wp:posOffset>
            </wp:positionV>
            <wp:extent cx="795689" cy="32004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795689" cy="320040"/>
                    </a:xfrm>
                    <a:prstGeom prst="rect">
                      <a:avLst/>
                    </a:prstGeom>
                  </pic:spPr>
                </pic:pic>
              </a:graphicData>
            </a:graphic>
          </wp:anchor>
        </w:drawing>
      </w:r>
      <w:r w:rsidR="00632EBE" w:rsidRPr="0095388B">
        <w:rPr>
          <w:rFonts w:ascii="PMingLiU" w:eastAsia="PMingLiU" w:hAnsi="PMingLiU"/>
          <w:noProof/>
        </w:rPr>
        <w:drawing>
          <wp:anchor distT="0" distB="0" distL="0" distR="0" simplePos="0" relativeHeight="251660800" behindDoc="1" locked="0" layoutInCell="1" allowOverlap="1" wp14:anchorId="706AF952" wp14:editId="706AF953">
            <wp:simplePos x="0" y="0"/>
            <wp:positionH relativeFrom="page">
              <wp:posOffset>4808854</wp:posOffset>
            </wp:positionH>
            <wp:positionV relativeFrom="paragraph">
              <wp:posOffset>294189</wp:posOffset>
            </wp:positionV>
            <wp:extent cx="480060" cy="48005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480060" cy="480059"/>
                    </a:xfrm>
                    <a:prstGeom prst="rect">
                      <a:avLst/>
                    </a:prstGeom>
                  </pic:spPr>
                </pic:pic>
              </a:graphicData>
            </a:graphic>
          </wp:anchor>
        </w:drawing>
      </w:r>
      <w:r w:rsidR="00632EBE" w:rsidRPr="0095388B">
        <w:rPr>
          <w:rFonts w:ascii="PMingLiU" w:eastAsia="PMingLiU" w:hAnsi="PMingLiU"/>
          <w:noProof/>
        </w:rPr>
        <w:drawing>
          <wp:anchor distT="0" distB="0" distL="0" distR="0" simplePos="0" relativeHeight="251661824" behindDoc="1" locked="0" layoutInCell="1" allowOverlap="1" wp14:anchorId="706AF954" wp14:editId="706AF955">
            <wp:simplePos x="0" y="0"/>
            <wp:positionH relativeFrom="page">
              <wp:posOffset>6002654</wp:posOffset>
            </wp:positionH>
            <wp:positionV relativeFrom="paragraph">
              <wp:posOffset>376104</wp:posOffset>
            </wp:positionV>
            <wp:extent cx="1042277" cy="33375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042277" cy="333756"/>
                    </a:xfrm>
                    <a:prstGeom prst="rect">
                      <a:avLst/>
                    </a:prstGeom>
                  </pic:spPr>
                </pic:pic>
              </a:graphicData>
            </a:graphic>
          </wp:anchor>
        </w:drawing>
      </w:r>
    </w:p>
    <w:sectPr w:rsidR="00DB1C78" w:rsidRPr="004D4BCC">
      <w:type w:val="continuous"/>
      <w:pgSz w:w="12240" w:h="15840"/>
      <w:pgMar w:top="400" w:right="58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1AA"/>
    <w:multiLevelType w:val="multilevel"/>
    <w:tmpl w:val="037C2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713510"/>
    <w:multiLevelType w:val="multilevel"/>
    <w:tmpl w:val="BDF02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DB2E6F"/>
    <w:multiLevelType w:val="hybridMultilevel"/>
    <w:tmpl w:val="31AE29F4"/>
    <w:lvl w:ilvl="0" w:tplc="CA6AF8D8">
      <w:numFmt w:val="bullet"/>
      <w:lvlText w:val=""/>
      <w:lvlJc w:val="left"/>
      <w:pPr>
        <w:ind w:left="650" w:hanging="455"/>
      </w:pPr>
      <w:rPr>
        <w:rFonts w:ascii="Wingdings" w:eastAsia="Wingdings" w:hAnsi="Wingdings" w:cs="Wingdings" w:hint="default"/>
        <w:b w:val="0"/>
        <w:bCs w:val="0"/>
        <w:i w:val="0"/>
        <w:iCs w:val="0"/>
        <w:color w:val="4A859D"/>
        <w:spacing w:val="0"/>
        <w:w w:val="100"/>
        <w:sz w:val="40"/>
        <w:szCs w:val="40"/>
        <w:lang w:val="en-US" w:eastAsia="en-US" w:bidi="ar-SA"/>
      </w:rPr>
    </w:lvl>
    <w:lvl w:ilvl="1" w:tplc="20D4E714">
      <w:numFmt w:val="bullet"/>
      <w:lvlText w:val=""/>
      <w:lvlJc w:val="left"/>
      <w:pPr>
        <w:ind w:left="1010" w:hanging="360"/>
      </w:pPr>
      <w:rPr>
        <w:rFonts w:ascii="Symbol" w:eastAsia="Symbol" w:hAnsi="Symbol" w:cs="Symbol" w:hint="default"/>
        <w:b w:val="0"/>
        <w:bCs w:val="0"/>
        <w:i w:val="0"/>
        <w:iCs w:val="0"/>
        <w:color w:val="9AB9BC"/>
        <w:spacing w:val="0"/>
        <w:w w:val="95"/>
        <w:sz w:val="20"/>
        <w:szCs w:val="20"/>
        <w:lang w:val="en-US" w:eastAsia="en-US" w:bidi="ar-SA"/>
      </w:rPr>
    </w:lvl>
    <w:lvl w:ilvl="2" w:tplc="76227F62">
      <w:numFmt w:val="bullet"/>
      <w:lvlText w:val="•"/>
      <w:lvlJc w:val="left"/>
      <w:pPr>
        <w:ind w:left="2085" w:hanging="360"/>
      </w:pPr>
      <w:rPr>
        <w:rFonts w:hint="default"/>
        <w:lang w:val="en-US" w:eastAsia="en-US" w:bidi="ar-SA"/>
      </w:rPr>
    </w:lvl>
    <w:lvl w:ilvl="3" w:tplc="3A3C9716">
      <w:numFmt w:val="bullet"/>
      <w:lvlText w:val="•"/>
      <w:lvlJc w:val="left"/>
      <w:pPr>
        <w:ind w:left="3150" w:hanging="360"/>
      </w:pPr>
      <w:rPr>
        <w:rFonts w:hint="default"/>
        <w:lang w:val="en-US" w:eastAsia="en-US" w:bidi="ar-SA"/>
      </w:rPr>
    </w:lvl>
    <w:lvl w:ilvl="4" w:tplc="8B3608B8">
      <w:numFmt w:val="bullet"/>
      <w:lvlText w:val="•"/>
      <w:lvlJc w:val="left"/>
      <w:pPr>
        <w:ind w:left="4216" w:hanging="360"/>
      </w:pPr>
      <w:rPr>
        <w:rFonts w:hint="default"/>
        <w:lang w:val="en-US" w:eastAsia="en-US" w:bidi="ar-SA"/>
      </w:rPr>
    </w:lvl>
    <w:lvl w:ilvl="5" w:tplc="B7ACDCA6">
      <w:numFmt w:val="bullet"/>
      <w:lvlText w:val="•"/>
      <w:lvlJc w:val="left"/>
      <w:pPr>
        <w:ind w:left="5281" w:hanging="360"/>
      </w:pPr>
      <w:rPr>
        <w:rFonts w:hint="default"/>
        <w:lang w:val="en-US" w:eastAsia="en-US" w:bidi="ar-SA"/>
      </w:rPr>
    </w:lvl>
    <w:lvl w:ilvl="6" w:tplc="6C742118">
      <w:numFmt w:val="bullet"/>
      <w:lvlText w:val="•"/>
      <w:lvlJc w:val="left"/>
      <w:pPr>
        <w:ind w:left="6346" w:hanging="360"/>
      </w:pPr>
      <w:rPr>
        <w:rFonts w:hint="default"/>
        <w:lang w:val="en-US" w:eastAsia="en-US" w:bidi="ar-SA"/>
      </w:rPr>
    </w:lvl>
    <w:lvl w:ilvl="7" w:tplc="2018C34A">
      <w:numFmt w:val="bullet"/>
      <w:lvlText w:val="•"/>
      <w:lvlJc w:val="left"/>
      <w:pPr>
        <w:ind w:left="7412" w:hanging="360"/>
      </w:pPr>
      <w:rPr>
        <w:rFonts w:hint="default"/>
        <w:lang w:val="en-US" w:eastAsia="en-US" w:bidi="ar-SA"/>
      </w:rPr>
    </w:lvl>
    <w:lvl w:ilvl="8" w:tplc="72B4F038">
      <w:numFmt w:val="bullet"/>
      <w:lvlText w:val="•"/>
      <w:lvlJc w:val="left"/>
      <w:pPr>
        <w:ind w:left="8477" w:hanging="360"/>
      </w:pPr>
      <w:rPr>
        <w:rFonts w:hint="default"/>
        <w:lang w:val="en-US" w:eastAsia="en-US" w:bidi="ar-SA"/>
      </w:rPr>
    </w:lvl>
  </w:abstractNum>
  <w:abstractNum w:abstractNumId="3" w15:restartNumberingAfterBreak="0">
    <w:nsid w:val="1A0F58B8"/>
    <w:multiLevelType w:val="hybridMultilevel"/>
    <w:tmpl w:val="C9322302"/>
    <w:lvl w:ilvl="0" w:tplc="6E2ADE10">
      <w:numFmt w:val="bullet"/>
      <w:lvlText w:val=""/>
      <w:lvlJc w:val="left"/>
      <w:pPr>
        <w:ind w:left="650" w:hanging="455"/>
      </w:pPr>
      <w:rPr>
        <w:rFonts w:ascii="Wingdings" w:eastAsia="Wingdings" w:hAnsi="Wingdings" w:cs="Wingdings" w:hint="default"/>
        <w:b w:val="0"/>
        <w:bCs w:val="0"/>
        <w:i w:val="0"/>
        <w:iCs w:val="0"/>
        <w:color w:val="4A859D"/>
        <w:spacing w:val="0"/>
        <w:w w:val="100"/>
        <w:sz w:val="40"/>
        <w:szCs w:val="40"/>
        <w:lang w:val="en-US" w:eastAsia="en-US" w:bidi="ar-SA"/>
      </w:rPr>
    </w:lvl>
    <w:lvl w:ilvl="1" w:tplc="C6FEB59E">
      <w:numFmt w:val="bullet"/>
      <w:lvlText w:val=""/>
      <w:lvlJc w:val="left"/>
      <w:pPr>
        <w:ind w:left="1010" w:hanging="360"/>
      </w:pPr>
      <w:rPr>
        <w:rFonts w:ascii="Symbol" w:eastAsia="Symbol" w:hAnsi="Symbol" w:cs="Symbol" w:hint="default"/>
        <w:b w:val="0"/>
        <w:bCs w:val="0"/>
        <w:i w:val="0"/>
        <w:iCs w:val="0"/>
        <w:color w:val="9AB9BC"/>
        <w:spacing w:val="0"/>
        <w:w w:val="95"/>
        <w:sz w:val="20"/>
        <w:szCs w:val="20"/>
        <w:lang w:val="en-US" w:eastAsia="en-US" w:bidi="ar-SA"/>
      </w:rPr>
    </w:lvl>
    <w:lvl w:ilvl="2" w:tplc="DC403D28">
      <w:numFmt w:val="bullet"/>
      <w:lvlText w:val="•"/>
      <w:lvlJc w:val="left"/>
      <w:pPr>
        <w:ind w:left="2085" w:hanging="360"/>
      </w:pPr>
      <w:rPr>
        <w:rFonts w:hint="default"/>
        <w:lang w:val="en-US" w:eastAsia="en-US" w:bidi="ar-SA"/>
      </w:rPr>
    </w:lvl>
    <w:lvl w:ilvl="3" w:tplc="AFBC2EE0">
      <w:numFmt w:val="bullet"/>
      <w:lvlText w:val="•"/>
      <w:lvlJc w:val="left"/>
      <w:pPr>
        <w:ind w:left="3150" w:hanging="360"/>
      </w:pPr>
      <w:rPr>
        <w:rFonts w:hint="default"/>
        <w:lang w:val="en-US" w:eastAsia="en-US" w:bidi="ar-SA"/>
      </w:rPr>
    </w:lvl>
    <w:lvl w:ilvl="4" w:tplc="AA5C013E">
      <w:numFmt w:val="bullet"/>
      <w:lvlText w:val="•"/>
      <w:lvlJc w:val="left"/>
      <w:pPr>
        <w:ind w:left="4216" w:hanging="360"/>
      </w:pPr>
      <w:rPr>
        <w:rFonts w:hint="default"/>
        <w:lang w:val="en-US" w:eastAsia="en-US" w:bidi="ar-SA"/>
      </w:rPr>
    </w:lvl>
    <w:lvl w:ilvl="5" w:tplc="1DC80A5E">
      <w:numFmt w:val="bullet"/>
      <w:lvlText w:val="•"/>
      <w:lvlJc w:val="left"/>
      <w:pPr>
        <w:ind w:left="5281" w:hanging="360"/>
      </w:pPr>
      <w:rPr>
        <w:rFonts w:hint="default"/>
        <w:lang w:val="en-US" w:eastAsia="en-US" w:bidi="ar-SA"/>
      </w:rPr>
    </w:lvl>
    <w:lvl w:ilvl="6" w:tplc="F84AE236">
      <w:numFmt w:val="bullet"/>
      <w:lvlText w:val="•"/>
      <w:lvlJc w:val="left"/>
      <w:pPr>
        <w:ind w:left="6346" w:hanging="360"/>
      </w:pPr>
      <w:rPr>
        <w:rFonts w:hint="default"/>
        <w:lang w:val="en-US" w:eastAsia="en-US" w:bidi="ar-SA"/>
      </w:rPr>
    </w:lvl>
    <w:lvl w:ilvl="7" w:tplc="C41AAEEC">
      <w:numFmt w:val="bullet"/>
      <w:lvlText w:val="•"/>
      <w:lvlJc w:val="left"/>
      <w:pPr>
        <w:ind w:left="7412" w:hanging="360"/>
      </w:pPr>
      <w:rPr>
        <w:rFonts w:hint="default"/>
        <w:lang w:val="en-US" w:eastAsia="en-US" w:bidi="ar-SA"/>
      </w:rPr>
    </w:lvl>
    <w:lvl w:ilvl="8" w:tplc="4282CDA6">
      <w:numFmt w:val="bullet"/>
      <w:lvlText w:val="•"/>
      <w:lvlJc w:val="left"/>
      <w:pPr>
        <w:ind w:left="8477" w:hanging="360"/>
      </w:pPr>
      <w:rPr>
        <w:rFonts w:hint="default"/>
        <w:lang w:val="en-US" w:eastAsia="en-US" w:bidi="ar-SA"/>
      </w:rPr>
    </w:lvl>
  </w:abstractNum>
  <w:abstractNum w:abstractNumId="4" w15:restartNumberingAfterBreak="0">
    <w:nsid w:val="1F35768F"/>
    <w:multiLevelType w:val="multilevel"/>
    <w:tmpl w:val="37C2A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5D3C12"/>
    <w:multiLevelType w:val="multilevel"/>
    <w:tmpl w:val="8D883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E44498"/>
    <w:multiLevelType w:val="hybridMultilevel"/>
    <w:tmpl w:val="888A84BA"/>
    <w:lvl w:ilvl="0" w:tplc="6198975C">
      <w:numFmt w:val="bullet"/>
      <w:lvlText w:val=""/>
      <w:lvlJc w:val="left"/>
      <w:pPr>
        <w:ind w:left="650" w:hanging="455"/>
      </w:pPr>
      <w:rPr>
        <w:rFonts w:ascii="Wingdings" w:eastAsia="Wingdings" w:hAnsi="Wingdings" w:cs="Wingdings" w:hint="default"/>
        <w:b w:val="0"/>
        <w:bCs w:val="0"/>
        <w:i w:val="0"/>
        <w:iCs w:val="0"/>
        <w:color w:val="4A859D"/>
        <w:spacing w:val="0"/>
        <w:w w:val="100"/>
        <w:sz w:val="40"/>
        <w:szCs w:val="40"/>
        <w:lang w:val="en-US" w:eastAsia="en-US" w:bidi="ar-SA"/>
      </w:rPr>
    </w:lvl>
    <w:lvl w:ilvl="1" w:tplc="2A94ED7E">
      <w:numFmt w:val="bullet"/>
      <w:lvlText w:val=""/>
      <w:lvlJc w:val="left"/>
      <w:pPr>
        <w:ind w:left="1010" w:hanging="291"/>
      </w:pPr>
      <w:rPr>
        <w:rFonts w:ascii="Symbol" w:eastAsia="Symbol" w:hAnsi="Symbol" w:cs="Symbol" w:hint="default"/>
        <w:b w:val="0"/>
        <w:bCs w:val="0"/>
        <w:i w:val="0"/>
        <w:iCs w:val="0"/>
        <w:color w:val="9AB9BC"/>
        <w:spacing w:val="0"/>
        <w:w w:val="95"/>
        <w:sz w:val="20"/>
        <w:szCs w:val="20"/>
        <w:lang w:val="en-US" w:eastAsia="en-US" w:bidi="ar-SA"/>
      </w:rPr>
    </w:lvl>
    <w:lvl w:ilvl="2" w:tplc="98A209A0">
      <w:numFmt w:val="bullet"/>
      <w:lvlText w:val="•"/>
      <w:lvlJc w:val="left"/>
      <w:pPr>
        <w:ind w:left="2085" w:hanging="291"/>
      </w:pPr>
      <w:rPr>
        <w:rFonts w:hint="default"/>
        <w:lang w:val="en-US" w:eastAsia="en-US" w:bidi="ar-SA"/>
      </w:rPr>
    </w:lvl>
    <w:lvl w:ilvl="3" w:tplc="7FEA932A">
      <w:numFmt w:val="bullet"/>
      <w:lvlText w:val="•"/>
      <w:lvlJc w:val="left"/>
      <w:pPr>
        <w:ind w:left="3150" w:hanging="291"/>
      </w:pPr>
      <w:rPr>
        <w:rFonts w:hint="default"/>
        <w:lang w:val="en-US" w:eastAsia="en-US" w:bidi="ar-SA"/>
      </w:rPr>
    </w:lvl>
    <w:lvl w:ilvl="4" w:tplc="1A6E547A">
      <w:numFmt w:val="bullet"/>
      <w:lvlText w:val="•"/>
      <w:lvlJc w:val="left"/>
      <w:pPr>
        <w:ind w:left="4216" w:hanging="291"/>
      </w:pPr>
      <w:rPr>
        <w:rFonts w:hint="default"/>
        <w:lang w:val="en-US" w:eastAsia="en-US" w:bidi="ar-SA"/>
      </w:rPr>
    </w:lvl>
    <w:lvl w:ilvl="5" w:tplc="28605BBE">
      <w:numFmt w:val="bullet"/>
      <w:lvlText w:val="•"/>
      <w:lvlJc w:val="left"/>
      <w:pPr>
        <w:ind w:left="5281" w:hanging="291"/>
      </w:pPr>
      <w:rPr>
        <w:rFonts w:hint="default"/>
        <w:lang w:val="en-US" w:eastAsia="en-US" w:bidi="ar-SA"/>
      </w:rPr>
    </w:lvl>
    <w:lvl w:ilvl="6" w:tplc="0D305236">
      <w:numFmt w:val="bullet"/>
      <w:lvlText w:val="•"/>
      <w:lvlJc w:val="left"/>
      <w:pPr>
        <w:ind w:left="6346" w:hanging="291"/>
      </w:pPr>
      <w:rPr>
        <w:rFonts w:hint="default"/>
        <w:lang w:val="en-US" w:eastAsia="en-US" w:bidi="ar-SA"/>
      </w:rPr>
    </w:lvl>
    <w:lvl w:ilvl="7" w:tplc="54EC59A4">
      <w:numFmt w:val="bullet"/>
      <w:lvlText w:val="•"/>
      <w:lvlJc w:val="left"/>
      <w:pPr>
        <w:ind w:left="7412" w:hanging="291"/>
      </w:pPr>
      <w:rPr>
        <w:rFonts w:hint="default"/>
        <w:lang w:val="en-US" w:eastAsia="en-US" w:bidi="ar-SA"/>
      </w:rPr>
    </w:lvl>
    <w:lvl w:ilvl="8" w:tplc="5CD6D2FC">
      <w:numFmt w:val="bullet"/>
      <w:lvlText w:val="•"/>
      <w:lvlJc w:val="left"/>
      <w:pPr>
        <w:ind w:left="8477" w:hanging="291"/>
      </w:pPr>
      <w:rPr>
        <w:rFonts w:hint="default"/>
        <w:lang w:val="en-US" w:eastAsia="en-US" w:bidi="ar-SA"/>
      </w:rPr>
    </w:lvl>
  </w:abstractNum>
  <w:abstractNum w:abstractNumId="7" w15:restartNumberingAfterBreak="0">
    <w:nsid w:val="674F1B82"/>
    <w:multiLevelType w:val="hybridMultilevel"/>
    <w:tmpl w:val="F81499EC"/>
    <w:lvl w:ilvl="0" w:tplc="938AA61C">
      <w:numFmt w:val="bullet"/>
      <w:lvlText w:val=""/>
      <w:lvlJc w:val="left"/>
      <w:pPr>
        <w:ind w:left="701" w:hanging="361"/>
      </w:pPr>
      <w:rPr>
        <w:rFonts w:ascii="Symbol" w:eastAsia="Symbol" w:hAnsi="Symbol" w:cs="Symbol" w:hint="default"/>
        <w:b w:val="0"/>
        <w:bCs w:val="0"/>
        <w:i w:val="0"/>
        <w:iCs w:val="0"/>
        <w:color w:val="6292A6"/>
        <w:spacing w:val="0"/>
        <w:w w:val="100"/>
        <w:sz w:val="24"/>
        <w:szCs w:val="24"/>
        <w:lang w:val="en-US" w:eastAsia="en-US" w:bidi="ar-SA"/>
      </w:rPr>
    </w:lvl>
    <w:lvl w:ilvl="1" w:tplc="238E5B32">
      <w:numFmt w:val="bullet"/>
      <w:lvlText w:val="•"/>
      <w:lvlJc w:val="left"/>
      <w:pPr>
        <w:ind w:left="1730" w:hanging="361"/>
      </w:pPr>
      <w:rPr>
        <w:rFonts w:hint="default"/>
        <w:lang w:val="en-US" w:eastAsia="en-US" w:bidi="ar-SA"/>
      </w:rPr>
    </w:lvl>
    <w:lvl w:ilvl="2" w:tplc="FEA493B8">
      <w:numFmt w:val="bullet"/>
      <w:lvlText w:val="•"/>
      <w:lvlJc w:val="left"/>
      <w:pPr>
        <w:ind w:left="2760" w:hanging="361"/>
      </w:pPr>
      <w:rPr>
        <w:rFonts w:hint="default"/>
        <w:lang w:val="en-US" w:eastAsia="en-US" w:bidi="ar-SA"/>
      </w:rPr>
    </w:lvl>
    <w:lvl w:ilvl="3" w:tplc="82A6B684">
      <w:numFmt w:val="bullet"/>
      <w:lvlText w:val="•"/>
      <w:lvlJc w:val="left"/>
      <w:pPr>
        <w:ind w:left="3790" w:hanging="361"/>
      </w:pPr>
      <w:rPr>
        <w:rFonts w:hint="default"/>
        <w:lang w:val="en-US" w:eastAsia="en-US" w:bidi="ar-SA"/>
      </w:rPr>
    </w:lvl>
    <w:lvl w:ilvl="4" w:tplc="89B46884">
      <w:numFmt w:val="bullet"/>
      <w:lvlText w:val="•"/>
      <w:lvlJc w:val="left"/>
      <w:pPr>
        <w:ind w:left="4820" w:hanging="361"/>
      </w:pPr>
      <w:rPr>
        <w:rFonts w:hint="default"/>
        <w:lang w:val="en-US" w:eastAsia="en-US" w:bidi="ar-SA"/>
      </w:rPr>
    </w:lvl>
    <w:lvl w:ilvl="5" w:tplc="0BC2541C">
      <w:numFmt w:val="bullet"/>
      <w:lvlText w:val="•"/>
      <w:lvlJc w:val="left"/>
      <w:pPr>
        <w:ind w:left="5850" w:hanging="361"/>
      </w:pPr>
      <w:rPr>
        <w:rFonts w:hint="default"/>
        <w:lang w:val="en-US" w:eastAsia="en-US" w:bidi="ar-SA"/>
      </w:rPr>
    </w:lvl>
    <w:lvl w:ilvl="6" w:tplc="390AB88E">
      <w:numFmt w:val="bullet"/>
      <w:lvlText w:val="•"/>
      <w:lvlJc w:val="left"/>
      <w:pPr>
        <w:ind w:left="6880" w:hanging="361"/>
      </w:pPr>
      <w:rPr>
        <w:rFonts w:hint="default"/>
        <w:lang w:val="en-US" w:eastAsia="en-US" w:bidi="ar-SA"/>
      </w:rPr>
    </w:lvl>
    <w:lvl w:ilvl="7" w:tplc="A10A64DC">
      <w:numFmt w:val="bullet"/>
      <w:lvlText w:val="•"/>
      <w:lvlJc w:val="left"/>
      <w:pPr>
        <w:ind w:left="7910" w:hanging="361"/>
      </w:pPr>
      <w:rPr>
        <w:rFonts w:hint="default"/>
        <w:lang w:val="en-US" w:eastAsia="en-US" w:bidi="ar-SA"/>
      </w:rPr>
    </w:lvl>
    <w:lvl w:ilvl="8" w:tplc="BC5A6D3E">
      <w:numFmt w:val="bullet"/>
      <w:lvlText w:val="•"/>
      <w:lvlJc w:val="left"/>
      <w:pPr>
        <w:ind w:left="8940" w:hanging="361"/>
      </w:pPr>
      <w:rPr>
        <w:rFonts w:hint="default"/>
        <w:lang w:val="en-US" w:eastAsia="en-US" w:bidi="ar-SA"/>
      </w:rPr>
    </w:lvl>
  </w:abstractNum>
  <w:abstractNum w:abstractNumId="8" w15:restartNumberingAfterBreak="0">
    <w:nsid w:val="6F2474E7"/>
    <w:multiLevelType w:val="hybridMultilevel"/>
    <w:tmpl w:val="33E08174"/>
    <w:lvl w:ilvl="0" w:tplc="DF36DF5E">
      <w:numFmt w:val="bullet"/>
      <w:lvlText w:val=""/>
      <w:lvlJc w:val="left"/>
      <w:pPr>
        <w:ind w:left="650" w:hanging="455"/>
      </w:pPr>
      <w:rPr>
        <w:rFonts w:ascii="Wingdings" w:eastAsia="Wingdings" w:hAnsi="Wingdings" w:cs="Wingdings" w:hint="default"/>
        <w:b w:val="0"/>
        <w:bCs w:val="0"/>
        <w:i w:val="0"/>
        <w:iCs w:val="0"/>
        <w:color w:val="4A859D"/>
        <w:spacing w:val="0"/>
        <w:w w:val="100"/>
        <w:sz w:val="40"/>
        <w:szCs w:val="40"/>
        <w:lang w:val="en-US" w:eastAsia="en-US" w:bidi="ar-SA"/>
      </w:rPr>
    </w:lvl>
    <w:lvl w:ilvl="1" w:tplc="B8FE5AAA">
      <w:numFmt w:val="bullet"/>
      <w:lvlText w:val=""/>
      <w:lvlJc w:val="left"/>
      <w:pPr>
        <w:ind w:left="1010" w:hanging="329"/>
      </w:pPr>
      <w:rPr>
        <w:rFonts w:ascii="Symbol" w:eastAsia="Symbol" w:hAnsi="Symbol" w:cs="Symbol" w:hint="default"/>
        <w:b w:val="0"/>
        <w:bCs w:val="0"/>
        <w:i w:val="0"/>
        <w:iCs w:val="0"/>
        <w:color w:val="9AB9BC"/>
        <w:spacing w:val="0"/>
        <w:w w:val="95"/>
        <w:sz w:val="20"/>
        <w:szCs w:val="20"/>
        <w:lang w:val="en-US" w:eastAsia="en-US" w:bidi="ar-SA"/>
      </w:rPr>
    </w:lvl>
    <w:lvl w:ilvl="2" w:tplc="A7B09086">
      <w:numFmt w:val="bullet"/>
      <w:lvlText w:val="•"/>
      <w:lvlJc w:val="left"/>
      <w:pPr>
        <w:ind w:left="2085" w:hanging="329"/>
      </w:pPr>
      <w:rPr>
        <w:rFonts w:hint="default"/>
        <w:lang w:val="en-US" w:eastAsia="en-US" w:bidi="ar-SA"/>
      </w:rPr>
    </w:lvl>
    <w:lvl w:ilvl="3" w:tplc="E7C40E96">
      <w:numFmt w:val="bullet"/>
      <w:lvlText w:val="•"/>
      <w:lvlJc w:val="left"/>
      <w:pPr>
        <w:ind w:left="3150" w:hanging="329"/>
      </w:pPr>
      <w:rPr>
        <w:rFonts w:hint="default"/>
        <w:lang w:val="en-US" w:eastAsia="en-US" w:bidi="ar-SA"/>
      </w:rPr>
    </w:lvl>
    <w:lvl w:ilvl="4" w:tplc="DFDA41C0">
      <w:numFmt w:val="bullet"/>
      <w:lvlText w:val="•"/>
      <w:lvlJc w:val="left"/>
      <w:pPr>
        <w:ind w:left="4216" w:hanging="329"/>
      </w:pPr>
      <w:rPr>
        <w:rFonts w:hint="default"/>
        <w:lang w:val="en-US" w:eastAsia="en-US" w:bidi="ar-SA"/>
      </w:rPr>
    </w:lvl>
    <w:lvl w:ilvl="5" w:tplc="DB6AEB80">
      <w:numFmt w:val="bullet"/>
      <w:lvlText w:val="•"/>
      <w:lvlJc w:val="left"/>
      <w:pPr>
        <w:ind w:left="5281" w:hanging="329"/>
      </w:pPr>
      <w:rPr>
        <w:rFonts w:hint="default"/>
        <w:lang w:val="en-US" w:eastAsia="en-US" w:bidi="ar-SA"/>
      </w:rPr>
    </w:lvl>
    <w:lvl w:ilvl="6" w:tplc="3EC446EA">
      <w:numFmt w:val="bullet"/>
      <w:lvlText w:val="•"/>
      <w:lvlJc w:val="left"/>
      <w:pPr>
        <w:ind w:left="6346" w:hanging="329"/>
      </w:pPr>
      <w:rPr>
        <w:rFonts w:hint="default"/>
        <w:lang w:val="en-US" w:eastAsia="en-US" w:bidi="ar-SA"/>
      </w:rPr>
    </w:lvl>
    <w:lvl w:ilvl="7" w:tplc="F3B2AC1A">
      <w:numFmt w:val="bullet"/>
      <w:lvlText w:val="•"/>
      <w:lvlJc w:val="left"/>
      <w:pPr>
        <w:ind w:left="7412" w:hanging="329"/>
      </w:pPr>
      <w:rPr>
        <w:rFonts w:hint="default"/>
        <w:lang w:val="en-US" w:eastAsia="en-US" w:bidi="ar-SA"/>
      </w:rPr>
    </w:lvl>
    <w:lvl w:ilvl="8" w:tplc="FFACFEC6">
      <w:numFmt w:val="bullet"/>
      <w:lvlText w:val="•"/>
      <w:lvlJc w:val="left"/>
      <w:pPr>
        <w:ind w:left="8477" w:hanging="329"/>
      </w:pPr>
      <w:rPr>
        <w:rFonts w:hint="default"/>
        <w:lang w:val="en-US" w:eastAsia="en-US" w:bidi="ar-SA"/>
      </w:rPr>
    </w:lvl>
  </w:abstractNum>
  <w:num w:numId="1" w16cid:durableId="143475849">
    <w:abstractNumId w:val="6"/>
  </w:num>
  <w:num w:numId="2" w16cid:durableId="1970279942">
    <w:abstractNumId w:val="3"/>
  </w:num>
  <w:num w:numId="3" w16cid:durableId="1158419957">
    <w:abstractNumId w:val="2"/>
  </w:num>
  <w:num w:numId="4" w16cid:durableId="932586654">
    <w:abstractNumId w:val="8"/>
  </w:num>
  <w:num w:numId="5" w16cid:durableId="644896529">
    <w:abstractNumId w:val="7"/>
  </w:num>
  <w:num w:numId="6" w16cid:durableId="500044656">
    <w:abstractNumId w:val="0"/>
  </w:num>
  <w:num w:numId="7" w16cid:durableId="1858305668">
    <w:abstractNumId w:val="1"/>
  </w:num>
  <w:num w:numId="8" w16cid:durableId="1845238705">
    <w:abstractNumId w:val="5"/>
  </w:num>
  <w:num w:numId="9" w16cid:durableId="210389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B1C78"/>
    <w:rsid w:val="000135DF"/>
    <w:rsid w:val="0002455B"/>
    <w:rsid w:val="00083DF5"/>
    <w:rsid w:val="000A07FB"/>
    <w:rsid w:val="000D0585"/>
    <w:rsid w:val="001230B1"/>
    <w:rsid w:val="00127EB4"/>
    <w:rsid w:val="00133364"/>
    <w:rsid w:val="00143637"/>
    <w:rsid w:val="001C5E03"/>
    <w:rsid w:val="001C7197"/>
    <w:rsid w:val="001E24BE"/>
    <w:rsid w:val="00235CE6"/>
    <w:rsid w:val="002963A0"/>
    <w:rsid w:val="002D27D2"/>
    <w:rsid w:val="002E7BEF"/>
    <w:rsid w:val="00305235"/>
    <w:rsid w:val="00327E69"/>
    <w:rsid w:val="00347B3F"/>
    <w:rsid w:val="00366B85"/>
    <w:rsid w:val="00371C65"/>
    <w:rsid w:val="003774CE"/>
    <w:rsid w:val="00382AA7"/>
    <w:rsid w:val="004022ED"/>
    <w:rsid w:val="00431039"/>
    <w:rsid w:val="00442C0D"/>
    <w:rsid w:val="00464642"/>
    <w:rsid w:val="00471CEB"/>
    <w:rsid w:val="0047248E"/>
    <w:rsid w:val="00490E61"/>
    <w:rsid w:val="004A6232"/>
    <w:rsid w:val="004B17CE"/>
    <w:rsid w:val="004D4BCC"/>
    <w:rsid w:val="004D706D"/>
    <w:rsid w:val="004F6595"/>
    <w:rsid w:val="00513CD6"/>
    <w:rsid w:val="0052768B"/>
    <w:rsid w:val="00540A98"/>
    <w:rsid w:val="00582380"/>
    <w:rsid w:val="00583DC8"/>
    <w:rsid w:val="005C13C1"/>
    <w:rsid w:val="005C2BC3"/>
    <w:rsid w:val="005E41B9"/>
    <w:rsid w:val="00615E7D"/>
    <w:rsid w:val="00632EBE"/>
    <w:rsid w:val="006531FC"/>
    <w:rsid w:val="0069360C"/>
    <w:rsid w:val="0069699D"/>
    <w:rsid w:val="006A7A13"/>
    <w:rsid w:val="006B2ED7"/>
    <w:rsid w:val="006D422B"/>
    <w:rsid w:val="006F2BA0"/>
    <w:rsid w:val="00717CA8"/>
    <w:rsid w:val="00744AC0"/>
    <w:rsid w:val="007530B5"/>
    <w:rsid w:val="00755156"/>
    <w:rsid w:val="00777DE0"/>
    <w:rsid w:val="0079588B"/>
    <w:rsid w:val="007C0A6D"/>
    <w:rsid w:val="007C0BBD"/>
    <w:rsid w:val="00800392"/>
    <w:rsid w:val="0080533B"/>
    <w:rsid w:val="00852D2B"/>
    <w:rsid w:val="00867451"/>
    <w:rsid w:val="0087230E"/>
    <w:rsid w:val="00885960"/>
    <w:rsid w:val="00886D72"/>
    <w:rsid w:val="00886DAA"/>
    <w:rsid w:val="0089522B"/>
    <w:rsid w:val="008C5728"/>
    <w:rsid w:val="008D5483"/>
    <w:rsid w:val="008D70C5"/>
    <w:rsid w:val="008E257B"/>
    <w:rsid w:val="008E58CE"/>
    <w:rsid w:val="008F414F"/>
    <w:rsid w:val="00911EB9"/>
    <w:rsid w:val="00913430"/>
    <w:rsid w:val="009147F1"/>
    <w:rsid w:val="00924674"/>
    <w:rsid w:val="0093495B"/>
    <w:rsid w:val="0093598D"/>
    <w:rsid w:val="0095388B"/>
    <w:rsid w:val="009574E1"/>
    <w:rsid w:val="00962D32"/>
    <w:rsid w:val="009F1D12"/>
    <w:rsid w:val="009F58AD"/>
    <w:rsid w:val="00A04F1C"/>
    <w:rsid w:val="00A116E7"/>
    <w:rsid w:val="00A16385"/>
    <w:rsid w:val="00A74659"/>
    <w:rsid w:val="00A77B22"/>
    <w:rsid w:val="00A953A5"/>
    <w:rsid w:val="00A964DA"/>
    <w:rsid w:val="00AC4E44"/>
    <w:rsid w:val="00AD1331"/>
    <w:rsid w:val="00AE5846"/>
    <w:rsid w:val="00AF0815"/>
    <w:rsid w:val="00B1408C"/>
    <w:rsid w:val="00B170C0"/>
    <w:rsid w:val="00B1731C"/>
    <w:rsid w:val="00B41C0C"/>
    <w:rsid w:val="00B42429"/>
    <w:rsid w:val="00B574A9"/>
    <w:rsid w:val="00B63C8D"/>
    <w:rsid w:val="00B64B25"/>
    <w:rsid w:val="00B8076F"/>
    <w:rsid w:val="00C03E99"/>
    <w:rsid w:val="00C25E41"/>
    <w:rsid w:val="00C70F3B"/>
    <w:rsid w:val="00C94048"/>
    <w:rsid w:val="00CC1FD0"/>
    <w:rsid w:val="00CD5AD3"/>
    <w:rsid w:val="00CE326E"/>
    <w:rsid w:val="00CE691E"/>
    <w:rsid w:val="00D01825"/>
    <w:rsid w:val="00D078D5"/>
    <w:rsid w:val="00D13B94"/>
    <w:rsid w:val="00D161B7"/>
    <w:rsid w:val="00D359C2"/>
    <w:rsid w:val="00D4470A"/>
    <w:rsid w:val="00D46E35"/>
    <w:rsid w:val="00D510B9"/>
    <w:rsid w:val="00DB1562"/>
    <w:rsid w:val="00DB17EB"/>
    <w:rsid w:val="00DB1949"/>
    <w:rsid w:val="00DB1C78"/>
    <w:rsid w:val="00DC4DC3"/>
    <w:rsid w:val="00E12DCC"/>
    <w:rsid w:val="00E37F9A"/>
    <w:rsid w:val="00E51B08"/>
    <w:rsid w:val="00E60ED7"/>
    <w:rsid w:val="00E95ADB"/>
    <w:rsid w:val="00EA03BD"/>
    <w:rsid w:val="00EB23DD"/>
    <w:rsid w:val="00EB3D8A"/>
    <w:rsid w:val="00EE08E2"/>
    <w:rsid w:val="00EF68CB"/>
    <w:rsid w:val="00EF6A7B"/>
    <w:rsid w:val="00F35739"/>
    <w:rsid w:val="00F37438"/>
    <w:rsid w:val="00F452A8"/>
    <w:rsid w:val="00F93E61"/>
    <w:rsid w:val="00F978CF"/>
    <w:rsid w:val="00FA4216"/>
    <w:rsid w:val="00FB2A8A"/>
    <w:rsid w:val="00FE1573"/>
    <w:rsid w:val="00FE20A8"/>
    <w:rsid w:val="00FE2F26"/>
    <w:rsid w:val="00FE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F928"/>
  <w15:docId w15:val="{B41B7F6E-CAB0-4784-BB92-C31DD3B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4"/>
      <w:szCs w:val="24"/>
    </w:rPr>
  </w:style>
  <w:style w:type="paragraph" w:styleId="Title">
    <w:name w:val="Title"/>
    <w:basedOn w:val="Normal"/>
    <w:uiPriority w:val="10"/>
    <w:qFormat/>
    <w:pPr>
      <w:spacing w:before="78"/>
      <w:ind w:left="1552" w:right="1352"/>
      <w:jc w:val="center"/>
    </w:pPr>
    <w:rPr>
      <w:b/>
      <w:bCs/>
      <w:sz w:val="36"/>
      <w:szCs w:val="36"/>
    </w:rPr>
  </w:style>
  <w:style w:type="paragraph" w:styleId="ListParagraph">
    <w:name w:val="List Paragraph"/>
    <w:basedOn w:val="Normal"/>
    <w:uiPriority w:val="1"/>
    <w:qFormat/>
    <w:pPr>
      <w:ind w:left="701" w:hanging="361"/>
    </w:pPr>
  </w:style>
  <w:style w:type="paragraph" w:customStyle="1" w:styleId="TableParagraph">
    <w:name w:val="Table Paragraph"/>
    <w:basedOn w:val="Normal"/>
    <w:uiPriority w:val="1"/>
    <w:qFormat/>
    <w:pPr>
      <w:ind w:left="1010" w:hanging="360"/>
    </w:pPr>
  </w:style>
  <w:style w:type="character" w:styleId="Hyperlink">
    <w:name w:val="Hyperlink"/>
    <w:basedOn w:val="DefaultParagraphFont"/>
    <w:uiPriority w:val="99"/>
    <w:unhideWhenUsed/>
    <w:rsid w:val="005C2BC3"/>
    <w:rPr>
      <w:color w:val="0000FF" w:themeColor="hyperlink"/>
      <w:u w:val="single"/>
    </w:rPr>
  </w:style>
  <w:style w:type="character" w:styleId="UnresolvedMention">
    <w:name w:val="Unresolved Mention"/>
    <w:basedOn w:val="DefaultParagraphFont"/>
    <w:uiPriority w:val="99"/>
    <w:semiHidden/>
    <w:unhideWhenUsed/>
    <w:rsid w:val="005C2BC3"/>
    <w:rPr>
      <w:color w:val="605E5C"/>
      <w:shd w:val="clear" w:color="auto" w:fill="E1DFDD"/>
    </w:rPr>
  </w:style>
  <w:style w:type="character" w:styleId="PlaceholderText">
    <w:name w:val="Placeholder Text"/>
    <w:basedOn w:val="DefaultParagraphFont"/>
    <w:uiPriority w:val="99"/>
    <w:semiHidden/>
    <w:rsid w:val="00F45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publichealth.lacounty.gov/tb/providertoolkit.htm" TargetMode="External"/><Relationship Id="rId11" Type="http://schemas.openxmlformats.org/officeDocument/2006/relationships/image" Target="media/image5.jpeg"/><Relationship Id="rId5" Type="http://schemas.openxmlformats.org/officeDocument/2006/relationships/hyperlink" Target="http://www.ctca.org" TargetMode="Externa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EE3D77AF1184097E513F255EF5225" ma:contentTypeVersion="13" ma:contentTypeDescription="Create a new document." ma:contentTypeScope="" ma:versionID="e38f6768dc26677dcb8b3394d1c54def">
  <xsd:schema xmlns:xsd="http://www.w3.org/2001/XMLSchema" xmlns:xs="http://www.w3.org/2001/XMLSchema" xmlns:p="http://schemas.microsoft.com/office/2006/metadata/properties" xmlns:ns2="958702ed-7d6e-4bdc-92b3-7f97c7d76dfb" xmlns:ns3="bf2920f7-6e42-4ee3-9f3f-c94b7af73a2a" targetNamespace="http://schemas.microsoft.com/office/2006/metadata/properties" ma:root="true" ma:fieldsID="40097a566f0cb837f367df71b6dabca7" ns2:_="" ns3:_="">
    <xsd:import namespace="958702ed-7d6e-4bdc-92b3-7f97c7d76dfb"/>
    <xsd:import namespace="bf2920f7-6e42-4ee3-9f3f-c94b7af73a2a"/>
    <xsd:element name="properties">
      <xsd:complexType>
        <xsd:sequence>
          <xsd:element name="documentManagement">
            <xsd:complexType>
              <xsd:all>
                <xsd:element ref="ns2:MediaServiceMetadata" minOccurs="0"/>
                <xsd:element ref="ns2:MediaServiceFastMetadata" minOccurs="0"/>
                <xsd:element ref="ns2:Count"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702ed-7d6e-4bdc-92b3-7f97c7d7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0" nillable="true" ma:displayName="Count" ma:decimals="0" ma:format="Dropdown" ma:internalName="Count" ma:percentage="FALSE">
      <xsd:simpleType>
        <xsd:restriction base="dms:Number"/>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717140e-4b06-4a83-950e-a07b9e2a7da7}" ma:internalName="TaxCatchAll" ma:showField="CatchAllData" ma:web="6f3070ae-4f5f-4cd8-af77-c37269807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8702ed-7d6e-4bdc-92b3-7f97c7d76dfb">
      <Terms xmlns="http://schemas.microsoft.com/office/infopath/2007/PartnerControls"/>
    </lcf76f155ced4ddcb4097134ff3c332f>
    <TaxCatchAll xmlns="bf2920f7-6e42-4ee3-9f3f-c94b7af73a2a" xsi:nil="true"/>
    <Count xmlns="958702ed-7d6e-4bdc-92b3-7f97c7d76dfb" xsi:nil="true"/>
  </documentManagement>
</p:properties>
</file>

<file path=customXml/itemProps1.xml><?xml version="1.0" encoding="utf-8"?>
<ds:datastoreItem xmlns:ds="http://schemas.openxmlformats.org/officeDocument/2006/customXml" ds:itemID="{50184D1E-3A07-43C8-A632-FE908820775B}"/>
</file>

<file path=customXml/itemProps2.xml><?xml version="1.0" encoding="utf-8"?>
<ds:datastoreItem xmlns:ds="http://schemas.openxmlformats.org/officeDocument/2006/customXml" ds:itemID="{8029A044-F948-4ECC-93AD-23D1B8C47395}"/>
</file>

<file path=customXml/itemProps3.xml><?xml version="1.0" encoding="utf-8"?>
<ds:datastoreItem xmlns:ds="http://schemas.openxmlformats.org/officeDocument/2006/customXml" ds:itemID="{65EDC2BC-B536-419A-9B85-FD5A1EDA189C}"/>
</file>

<file path=docProps/app.xml><?xml version="1.0" encoding="utf-8"?>
<Properties xmlns="http://schemas.openxmlformats.org/officeDocument/2006/extended-properties" xmlns:vt="http://schemas.openxmlformats.org/officeDocument/2006/docPropsVTypes">
  <Template>Normal</Template>
  <TotalTime>145</TotalTime>
  <Pages>1</Pages>
  <Words>500</Words>
  <Characters>596</Characters>
  <Application>Microsoft Office Word</Application>
  <DocSecurity>0</DocSecurity>
  <Lines>21</Lines>
  <Paragraphs>26</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Tuberculosis Adult Risk Assessment and User Guide</dc:title>
  <dc:creator>California Tuberculosis Control Branch</dc:creator>
  <cp:lastModifiedBy>Xiaoqing Chen</cp:lastModifiedBy>
  <cp:revision>20</cp:revision>
  <dcterms:created xsi:type="dcterms:W3CDTF">2023-07-24T17:24:00Z</dcterms:created>
  <dcterms:modified xsi:type="dcterms:W3CDTF">2023-07-24T21:03:00Z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2016</vt:lpwstr>
  </property>
  <property fmtid="{D5CDD505-2E9C-101B-9397-08002B2CF9AE}" pid="4" name="LastSaved">
    <vt:filetime>2023-07-14T00:00:00Z</vt:filetime>
  </property>
  <property fmtid="{D5CDD505-2E9C-101B-9397-08002B2CF9AE}" pid="5" name="Producer">
    <vt:lpwstr>Microsoft® Word 2016</vt:lpwstr>
  </property>
  <property fmtid="{D5CDD505-2E9C-101B-9397-08002B2CF9AE}" pid="6" name="ContentTypeId">
    <vt:lpwstr>0x010100C5DEE3D77AF1184097E513F255EF5225</vt:lpwstr>
  </property>
</Properties>
</file>